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29</w:t>
      </w:r>
      <w:r>
        <w:rPr>
          <w:b/>
          <w:sz w:val="20"/>
          <w:szCs w:val="20"/>
        </w:rPr>
        <w:tab/>
      </w:r>
      <w:r>
        <w:rPr>
          <w:rFonts w:hint="eastAsia"/>
          <w:b/>
          <w:sz w:val="20"/>
          <w:szCs w:val="20"/>
        </w:rPr>
        <w:t>R2-2501034</w:t>
      </w:r>
    </w:p>
    <w:p>
      <w:pPr>
        <w:pStyle w:val="56"/>
        <w:jc w:val="left"/>
        <w:rPr>
          <w:rFonts w:hint="eastAsia" w:eastAsia="宋体" w:cs="Arial"/>
          <w:sz w:val="20"/>
          <w:szCs w:val="20"/>
          <w:lang w:val="en-US" w:eastAsia="zh-CN"/>
        </w:rPr>
      </w:pPr>
      <w:r>
        <w:rPr>
          <w:rFonts w:hint="eastAsia" w:cs="Arial"/>
          <w:sz w:val="20"/>
          <w:szCs w:val="20"/>
        </w:rPr>
        <w:t xml:space="preserve">Athens, GR, </w:t>
      </w:r>
      <w:r>
        <w:rPr>
          <w:rFonts w:hint="eastAsia" w:eastAsia="宋体" w:cs="Arial"/>
          <w:sz w:val="20"/>
          <w:szCs w:val="20"/>
          <w:lang w:val="en-US" w:eastAsia="zh-CN"/>
        </w:rPr>
        <w:t xml:space="preserve">Feb. </w:t>
      </w:r>
      <w:r>
        <w:rPr>
          <w:rFonts w:hint="eastAsia" w:cs="Arial"/>
          <w:sz w:val="20"/>
          <w:szCs w:val="20"/>
        </w:rPr>
        <w:t>1</w:t>
      </w:r>
      <w:r>
        <w:rPr>
          <w:rFonts w:hint="eastAsia" w:eastAsia="宋体" w:cs="Arial"/>
          <w:sz w:val="20"/>
          <w:szCs w:val="20"/>
          <w:lang w:val="en-US" w:eastAsia="zh-CN"/>
        </w:rPr>
        <w:t>7</w:t>
      </w:r>
      <w:r>
        <w:rPr>
          <w:rFonts w:hint="eastAsia" w:cs="Arial"/>
          <w:sz w:val="20"/>
          <w:szCs w:val="20"/>
        </w:rPr>
        <w:t xml:space="preserve"> – 2</w:t>
      </w:r>
      <w:r>
        <w:rPr>
          <w:rFonts w:hint="eastAsia" w:eastAsia="宋体" w:cs="Arial"/>
          <w:sz w:val="20"/>
          <w:szCs w:val="20"/>
          <w:lang w:val="en-US" w:eastAsia="zh-CN"/>
        </w:rPr>
        <w:t>1</w:t>
      </w:r>
      <w:r>
        <w:rPr>
          <w:rFonts w:hint="eastAsia" w:cs="Arial"/>
          <w:sz w:val="20"/>
          <w:szCs w:val="20"/>
        </w:rPr>
        <w:t>, 202</w:t>
      </w:r>
      <w:r>
        <w:rPr>
          <w:rFonts w:hint="eastAsia" w:eastAsia="宋体" w:cs="Arial"/>
          <w:sz w:val="20"/>
          <w:szCs w:val="20"/>
          <w:lang w:val="en-US" w:eastAsia="zh-CN"/>
        </w:rPr>
        <w:t>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Considerations</w:t>
      </w:r>
      <w:r>
        <w:rPr>
          <w:rFonts w:hint="eastAsia" w:cs="Arial" w:eastAsiaTheme="minorEastAsia"/>
          <w:sz w:val="20"/>
          <w:szCs w:val="20"/>
          <w:lang w:val="en-US" w:eastAsia="zh-CN"/>
        </w:rPr>
        <w:t xml:space="preserve"> on uplink capacity enhancement for IoT-NTN</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pPr>
      <w:r>
        <w:rPr>
          <w:rFonts w:hint="eastAsia" w:eastAsia="宋体"/>
          <w:bCs/>
          <w:lang w:val="en-US" w:eastAsia="zh-CN"/>
        </w:rPr>
        <w:t>In last meeting, there were some discussions on uplink capacity enhancements for IoT-NTN and achieved some agreements as follows [1]:</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Only system Information is used to provide cell-specific CB-Msg3 PUSCH resources (</w:t>
      </w:r>
      <w:r>
        <w:rPr>
          <w:highlight w:val="yellow"/>
        </w:rPr>
        <w:t>FFS if anything is needed in dedicated signalling for the TA validation parameters, if needed, for the case of 15kHz SCS NB-IoT and eMTC CE mode B</w:t>
      </w:r>
      <w:r>
        <w:t>)</w:t>
      </w:r>
    </w:p>
    <w:p>
      <w:pPr>
        <w:pStyle w:val="54"/>
        <w:pBdr>
          <w:top w:val="single" w:color="auto" w:sz="4" w:space="1"/>
          <w:left w:val="single" w:color="auto" w:sz="4" w:space="4"/>
          <w:bottom w:val="single" w:color="auto" w:sz="4" w:space="1"/>
          <w:right w:val="single" w:color="auto" w:sz="4" w:space="4"/>
        </w:pBdr>
      </w:pPr>
      <w:r>
        <w:t>2.</w:t>
      </w:r>
      <w:r>
        <w:tab/>
      </w:r>
      <w:r>
        <w:t xml:space="preserve">Reuse the existing CE level selection procedure for CB-Msg3, at least for the initial selection. </w:t>
      </w:r>
      <w:r>
        <w:rPr>
          <w:highlight w:val="yellow"/>
        </w:rPr>
        <w:t>FFS whether we can reuse the same thresholds. FFS on the number of levels</w:t>
      </w:r>
    </w:p>
    <w:p>
      <w:pPr>
        <w:pStyle w:val="54"/>
        <w:pBdr>
          <w:top w:val="single" w:color="auto" w:sz="4" w:space="1"/>
          <w:left w:val="single" w:color="auto" w:sz="4" w:space="4"/>
          <w:bottom w:val="single" w:color="auto" w:sz="4" w:space="1"/>
          <w:right w:val="single" w:color="auto" w:sz="4" w:space="4"/>
        </w:pBdr>
      </w:pPr>
      <w:r>
        <w:t>3.</w:t>
      </w:r>
      <w:r>
        <w:tab/>
      </w:r>
      <w:r>
        <w:t>The UE triggers CB-Msg3 only if the size of pending UL data is less than the configured maximum TBS (</w:t>
      </w:r>
      <w:r>
        <w:rPr>
          <w:highlight w:val="yellow"/>
        </w:rPr>
        <w:t>FFS if the maximum TBS is same or different for different CE levels</w:t>
      </w:r>
      <w:r>
        <w:t>)</w:t>
      </w:r>
    </w:p>
    <w:p>
      <w:pPr>
        <w:pStyle w:val="54"/>
        <w:pBdr>
          <w:top w:val="single" w:color="auto" w:sz="4" w:space="1"/>
          <w:left w:val="single" w:color="auto" w:sz="4" w:space="4"/>
          <w:bottom w:val="single" w:color="auto" w:sz="4" w:space="1"/>
          <w:right w:val="single" w:color="auto" w:sz="4" w:space="4"/>
        </w:pBdr>
      </w:pPr>
      <w:r>
        <w:t>4.</w:t>
      </w:r>
      <w:r>
        <w:tab/>
      </w:r>
      <w:r>
        <w:t>There will be a RSRP threshold that determines whether CB-Msg3 can be used (if the RSRP is below such threshold, PRACH will have to be used) (</w:t>
      </w:r>
      <w:r>
        <w:rPr>
          <w:highlight w:val="yellow"/>
        </w:rPr>
        <w:t>FFS if we need a separate set of thresholds, including a different minimum threshold, in case CB-msg3 EDT is combined with OCC</w:t>
      </w:r>
      <w:r>
        <w:t>)</w:t>
      </w:r>
    </w:p>
    <w:p>
      <w:pPr>
        <w:pStyle w:val="54"/>
        <w:pBdr>
          <w:top w:val="single" w:color="auto" w:sz="4" w:space="1"/>
          <w:left w:val="single" w:color="auto" w:sz="4" w:space="4"/>
          <w:bottom w:val="single" w:color="auto" w:sz="4" w:space="1"/>
          <w:right w:val="single" w:color="auto" w:sz="4" w:space="4"/>
        </w:pBdr>
      </w:pPr>
      <w:r>
        <w:t>5.</w:t>
      </w:r>
      <w:r>
        <w:tab/>
      </w:r>
      <w:r>
        <w:t>The number of replicas for DSA will be configured by the NW: 1 (SA), 2, 3, 4. The configuration of the number of replicas is CE-level specific</w:t>
      </w:r>
    </w:p>
    <w:p>
      <w:pPr>
        <w:pStyle w:val="54"/>
        <w:pBdr>
          <w:top w:val="single" w:color="auto" w:sz="4" w:space="1"/>
          <w:left w:val="single" w:color="auto" w:sz="4" w:space="4"/>
          <w:bottom w:val="single" w:color="auto" w:sz="4" w:space="1"/>
          <w:right w:val="single" w:color="auto" w:sz="4" w:space="4"/>
        </w:pBdr>
        <w:rPr>
          <w:highlight w:val="yellow"/>
        </w:rPr>
      </w:pPr>
      <w:r>
        <w:t>6.</w:t>
      </w:r>
      <w:r>
        <w:tab/>
      </w:r>
      <w:r>
        <w:t xml:space="preserve">There will be a configurable time window for DSA CB-Msg3 occasion selection. </w:t>
      </w:r>
      <w:r>
        <w:rPr>
          <w:highlight w:val="yellow"/>
        </w:rPr>
        <w:t>FFS on the details (e.g. when the time window starts)</w:t>
      </w:r>
    </w:p>
    <w:p>
      <w:pPr>
        <w:pStyle w:val="54"/>
        <w:pBdr>
          <w:top w:val="single" w:color="auto" w:sz="4" w:space="1"/>
          <w:left w:val="single" w:color="auto" w:sz="4" w:space="4"/>
          <w:bottom w:val="single" w:color="auto" w:sz="4" w:space="1"/>
          <w:right w:val="single" w:color="auto" w:sz="4" w:space="4"/>
        </w:pBdr>
      </w:pPr>
      <w:r>
        <w:t>7.</w:t>
      </w:r>
      <w:r>
        <w:tab/>
      </w:r>
      <w:r>
        <w:t xml:space="preserve">For SA case (single replica), after the end of all repetition of CB-Msg3 PUSCH transmission, UE starts a window for response reception taking UE-eNB RTT into account. </w:t>
      </w:r>
      <w:r>
        <w:rPr>
          <w:highlight w:val="yellow"/>
        </w:rPr>
        <w:t>FFS if we need to consider additional delay e.g. for the processing time</w:t>
      </w:r>
    </w:p>
    <w:p>
      <w:pPr>
        <w:pStyle w:val="54"/>
        <w:pBdr>
          <w:top w:val="single" w:color="auto" w:sz="4" w:space="1"/>
          <w:left w:val="single" w:color="auto" w:sz="4" w:space="4"/>
          <w:bottom w:val="single" w:color="auto" w:sz="4" w:space="1"/>
          <w:right w:val="single" w:color="auto" w:sz="4" w:space="4"/>
        </w:pBdr>
      </w:pPr>
      <w:r>
        <w:t>8.</w:t>
      </w:r>
      <w:r>
        <w:tab/>
      </w:r>
      <w:r>
        <w:t xml:space="preserve">For DSA case, </w:t>
      </w:r>
      <w:r>
        <w:rPr>
          <w:highlight w:val="yellow"/>
        </w:rPr>
        <w:t>FFS if we only have one or multiple PDCCH monitoring window(s) (i.e. one window per each replica) for response reception. FFS when the window(s) is/are started (or restarted) and stopped. FFS on the window length. FFS if the UE needs to monitor only one RNTI or multiple RNTIs</w:t>
      </w:r>
      <w:r>
        <w:t>)</w:t>
      </w:r>
    </w:p>
    <w:p>
      <w:pPr>
        <w:pStyle w:val="54"/>
        <w:pBdr>
          <w:top w:val="single" w:color="auto" w:sz="4" w:space="1"/>
          <w:left w:val="single" w:color="auto" w:sz="4" w:space="4"/>
          <w:bottom w:val="single" w:color="auto" w:sz="4" w:space="1"/>
          <w:right w:val="single" w:color="auto" w:sz="4" w:space="4"/>
        </w:pBdr>
      </w:pPr>
      <w:r>
        <w:t>9.</w:t>
      </w:r>
      <w:r>
        <w:tab/>
      </w:r>
      <w:r>
        <w:t>The UE stops the PDCCH monitoring window(s) once it receives a CB-msg4 containing a matching Contention Resolution Identity (</w:t>
      </w:r>
      <w:r>
        <w:rPr>
          <w:highlight w:val="yellow"/>
        </w:rPr>
        <w:t>FFS if there is no RRC message together with the CB-msg4</w:t>
      </w:r>
      <w:r>
        <w:t>)</w:t>
      </w:r>
    </w:p>
    <w:p>
      <w:pPr>
        <w:pStyle w:val="54"/>
        <w:pBdr>
          <w:top w:val="single" w:color="auto" w:sz="4" w:space="1"/>
          <w:left w:val="single" w:color="auto" w:sz="4" w:space="4"/>
          <w:bottom w:val="single" w:color="auto" w:sz="4" w:space="1"/>
          <w:right w:val="single" w:color="auto" w:sz="4" w:space="4"/>
        </w:pBdr>
      </w:pPr>
      <w:r>
        <w:t>10.</w:t>
      </w:r>
      <w:r>
        <w:tab/>
      </w:r>
      <w: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pPr>
        <w:pStyle w:val="54"/>
        <w:pBdr>
          <w:top w:val="single" w:color="auto" w:sz="4" w:space="1"/>
          <w:left w:val="single" w:color="auto" w:sz="4" w:space="4"/>
          <w:bottom w:val="single" w:color="auto" w:sz="4" w:space="1"/>
          <w:right w:val="single" w:color="auto" w:sz="4" w:space="4"/>
        </w:pBdr>
      </w:pPr>
      <w:r>
        <w:t>11.</w:t>
      </w:r>
      <w:r>
        <w:tab/>
      </w:r>
      <w:r>
        <w:t>Within the configured time window, the UE shall select randomly different time domain occasions for transmitting different replicas. And for each time domain occasion, the UE shall select randomly a frequency domain resource.</w:t>
      </w:r>
    </w:p>
    <w:p>
      <w:pPr>
        <w:pStyle w:val="54"/>
        <w:pBdr>
          <w:top w:val="single" w:color="auto" w:sz="4" w:space="1"/>
          <w:left w:val="single" w:color="auto" w:sz="4" w:space="4"/>
          <w:bottom w:val="single" w:color="auto" w:sz="4" w:space="1"/>
          <w:right w:val="single" w:color="auto" w:sz="4" w:space="4"/>
        </w:pBdr>
      </w:pPr>
      <w:r>
        <w:t>12.</w:t>
      </w:r>
      <w:r>
        <w:tab/>
      </w:r>
      <w:r>
        <w:t>RAN2 understands that, for DSA, once the eNB successfully decodes one of the multiple replicas, it may respond without waiting for the remaining replica(s) (</w:t>
      </w:r>
      <w:r>
        <w:rPr>
          <w:highlight w:val="yellow"/>
        </w:rPr>
        <w:t>FFS when the response window(s) is/are started</w:t>
      </w:r>
      <w:r>
        <w:t>)</w:t>
      </w:r>
    </w:p>
    <w:p>
      <w:pPr>
        <w:suppressAutoHyphens/>
        <w:adjustRightInd/>
        <w:spacing w:before="120"/>
        <w:rPr>
          <w:rFonts w:eastAsiaTheme="minorEastAsia"/>
        </w:rPr>
      </w:pPr>
      <w:r>
        <w:rPr>
          <w:rFonts w:hint="eastAsia" w:cs="Arial" w:eastAsiaTheme="minorEastAsia"/>
          <w:lang w:val="en-US" w:eastAsia="zh-CN"/>
        </w:rPr>
        <w:t>Further, there were other remaining issues about RNTI design of Msg4 for DSA case and whether introduce an implicit pointer to allow the network infer the positions of the DSA replicas need to come back in this meeting. Therefore, 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 on</w:t>
      </w:r>
      <w:r>
        <w:rPr>
          <w:rFonts w:cs="Arial"/>
        </w:rPr>
        <w:t xml:space="preserve"> </w:t>
      </w:r>
      <w:r>
        <w:rPr>
          <w:rFonts w:hint="eastAsia" w:eastAsia="宋体" w:cs="Arial"/>
          <w:lang w:val="en-US" w:eastAsia="zh-CN"/>
        </w:rPr>
        <w:t>the open issues for 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CB-Msg3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2.1.1 TA validation parameters for 15kHz SCS NB-IoT and eMTC CE mode B</w:t>
      </w:r>
    </w:p>
    <w:p>
      <w:pPr>
        <w:pStyle w:val="60"/>
        <w:spacing w:after="0"/>
        <w:ind w:left="0" w:firstLine="0"/>
        <w:rPr>
          <w:rFonts w:hint="default" w:eastAsia="宋体"/>
          <w:b w:val="0"/>
          <w:bCs w:val="0"/>
          <w:sz w:val="20"/>
          <w:szCs w:val="20"/>
          <w:lang w:val="en-US" w:eastAsia="zh-CN"/>
        </w:rPr>
      </w:pPr>
      <w:r>
        <w:rPr>
          <w:rFonts w:hint="eastAsia" w:eastAsiaTheme="minorEastAsia"/>
          <w:b w:val="0"/>
          <w:bCs w:val="0"/>
          <w:sz w:val="20"/>
          <w:szCs w:val="20"/>
          <w:lang w:val="en-US" w:eastAsia="zh-CN"/>
        </w:rPr>
        <w:t xml:space="preserve">In last meeting, we agreed that only system Information is used to provide cell-specific CB-Msg3 PUSCH resources and whether support TA validation parameters in dedicated signaling for 15kHz SCS NB-IoT and eMTC CE mode B is FFS. As we known, only NB-IoT with 3.75kHz SCS and </w:t>
      </w:r>
      <w:r>
        <w:t xml:space="preserve">eMTC CE mode </w:t>
      </w:r>
      <w:r>
        <w:rPr>
          <w:rFonts w:hint="eastAsia" w:eastAsia="宋体"/>
          <w:lang w:val="en-US" w:eastAsia="zh-CN"/>
        </w:rPr>
        <w:t xml:space="preserve">A UEs </w:t>
      </w:r>
      <w:r>
        <w:rPr>
          <w:rFonts w:hint="eastAsia" w:eastAsia="宋体" w:cs="Arial"/>
          <w:sz w:val="20"/>
          <w:szCs w:val="20"/>
          <w:lang w:val="en-US" w:eastAsia="zh-CN"/>
        </w:rPr>
        <w:t xml:space="preserve">could satisfy the required timing accuracy for Msg3 transmission without Msg1/Msg2. And in RAN2 127bis, we also agreed that </w:t>
      </w:r>
      <w:r>
        <w:t>a running TAT is not needed to initiate a CB-msg3 EDT transmission</w:t>
      </w:r>
      <w:r>
        <w:rPr>
          <w:rFonts w:hint="eastAsia" w:eastAsia="宋体"/>
          <w:lang w:val="en-US" w:eastAsia="zh-CN"/>
        </w:rPr>
        <w:t xml:space="preserve"> in the above cases, that is TA validation is not needed. However, for </w:t>
      </w:r>
      <w:r>
        <w:t>15kHz SCS NB-IoT and eMTC CE mode B</w:t>
      </w:r>
      <w:r>
        <w:rPr>
          <w:rFonts w:hint="eastAsia" w:eastAsia="宋体"/>
          <w:lang w:val="en-US" w:eastAsia="zh-CN"/>
        </w:rPr>
        <w:t>, to guarantee the timing requirement, TA validation is still necessary. And per the RAN4 agreement in R17 IoT-NTN,</w:t>
      </w:r>
      <w:r>
        <w:t xml:space="preserve"> RSRP-based validation requirements is not needed for TA validation</w:t>
      </w:r>
      <w:r>
        <w:rPr>
          <w:rFonts w:hint="eastAsia" w:eastAsia="宋体"/>
          <w:lang w:val="en-US" w:eastAsia="zh-CN"/>
        </w:rPr>
        <w:t xml:space="preserve"> due to unobvious near-far effect in NTN. system. At least TAT timer could be supported to achieve timing alignment validation, and dedicated signaling could be considered to provide this parameter for </w:t>
      </w:r>
      <w:r>
        <w:rPr>
          <w:rFonts w:hint="eastAsia" w:eastAsiaTheme="minorEastAsia"/>
          <w:b w:val="0"/>
          <w:bCs w:val="0"/>
          <w:sz w:val="20"/>
          <w:szCs w:val="20"/>
          <w:lang w:val="en-US" w:eastAsia="zh-CN"/>
        </w:rPr>
        <w:t>15kHz SCS NB-IoT and eMTC CE mode B.</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1: Support dedicated signaling to configure the TA validation parameters (e.g. TAT timer at least) for 15kHz SCS NB-IoT and eMTC CE mode B.</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2.1.2 CE level for CB-Msg3</w:t>
      </w:r>
    </w:p>
    <w:p>
      <w:pPr>
        <w:rPr>
          <w:rFonts w:hint="eastAsia"/>
          <w:lang w:val="en-US" w:eastAsia="zh-CN"/>
        </w:rPr>
      </w:pPr>
      <w:r>
        <w:rPr>
          <w:rFonts w:hint="eastAsia"/>
          <w:lang w:val="en-US" w:eastAsia="zh-CN"/>
        </w:rPr>
        <w:t>For the CE level selection procedure, existing initial selection mechanism is agreed to be reused. And regarding the threshold and level numbers, current configuration is as following:</w:t>
      </w:r>
    </w:p>
    <w:p>
      <w:pPr>
        <w:rPr>
          <w:rFonts w:hint="default"/>
          <w:lang w:val="en-US" w:eastAsia="zh-CN"/>
        </w:rPr>
      </w:pPr>
      <w:r>
        <w:rPr>
          <w:rFonts w:hint="default"/>
          <w:lang w:val="en-US" w:eastAsia="zh-CN"/>
        </w:rPr>
        <w:drawing>
          <wp:inline distT="0" distB="0" distL="114300" distR="114300">
            <wp:extent cx="6115685" cy="1473835"/>
            <wp:effectExtent l="0" t="0" r="18415" b="12065"/>
            <wp:docPr id="1" name="图片 1" descr="173405615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4056154318"/>
                    <pic:cNvPicPr>
                      <a:picLocks noChangeAspect="1"/>
                    </pic:cNvPicPr>
                  </pic:nvPicPr>
                  <pic:blipFill>
                    <a:blip r:embed="rId11"/>
                    <a:stretch>
                      <a:fillRect/>
                    </a:stretch>
                  </pic:blipFill>
                  <pic:spPr>
                    <a:xfrm>
                      <a:off x="0" y="0"/>
                      <a:ext cx="6115685" cy="1473835"/>
                    </a:xfrm>
                    <a:prstGeom prst="rect">
                      <a:avLst/>
                    </a:prstGeom>
                  </pic:spPr>
                </pic:pic>
              </a:graphicData>
            </a:graphic>
          </wp:inline>
        </w:drawing>
      </w:r>
    </w:p>
    <w:p>
      <w:pPr>
        <w:rPr>
          <w:rFonts w:hint="default"/>
          <w:lang w:val="en-US" w:eastAsia="zh-CN"/>
        </w:rPr>
      </w:pPr>
      <w:r>
        <w:rPr>
          <w:rFonts w:hint="default"/>
          <w:lang w:val="en-US" w:eastAsia="zh-CN"/>
        </w:rPr>
        <w:drawing>
          <wp:inline distT="0" distB="0" distL="114300" distR="114300">
            <wp:extent cx="6113780" cy="270510"/>
            <wp:effectExtent l="0" t="0" r="1270" b="15240"/>
            <wp:docPr id="2" name="图片 2" descr="173405642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4056427769"/>
                    <pic:cNvPicPr>
                      <a:picLocks noChangeAspect="1"/>
                    </pic:cNvPicPr>
                  </pic:nvPicPr>
                  <pic:blipFill>
                    <a:blip r:embed="rId12"/>
                    <a:stretch>
                      <a:fillRect/>
                    </a:stretch>
                  </pic:blipFill>
                  <pic:spPr>
                    <a:xfrm>
                      <a:off x="0" y="0"/>
                      <a:ext cx="6113780" cy="270510"/>
                    </a:xfrm>
                    <a:prstGeom prst="rect">
                      <a:avLst/>
                    </a:prstGeom>
                  </pic:spPr>
                </pic:pic>
              </a:graphicData>
            </a:graphic>
          </wp:inline>
        </w:drawing>
      </w:r>
    </w:p>
    <w:p>
      <w:pPr>
        <w:rPr>
          <w:rFonts w:hint="default"/>
          <w:lang w:val="en-US" w:eastAsia="zh-CN"/>
        </w:rPr>
      </w:pPr>
      <w:r>
        <w:rPr>
          <w:rFonts w:hint="eastAsia"/>
          <w:lang w:val="en-US" w:eastAsia="zh-CN"/>
        </w:rPr>
        <w:t>Then at least for initial CE level selection for CB-Msg3 EDT, the existing RSRP threshold and CE level configuration could be reused as baseline.</w:t>
      </w:r>
    </w:p>
    <w:p>
      <w:pPr>
        <w:rPr>
          <w:rFonts w:hint="eastAsia" w:eastAsia="宋体"/>
          <w:b/>
          <w:bCs w:val="0"/>
          <w:i w:val="0"/>
          <w:iCs w:val="0"/>
          <w:lang w:val="en-US" w:eastAsia="zh-CN"/>
        </w:rPr>
      </w:pPr>
      <w:r>
        <w:rPr>
          <w:rFonts w:hint="eastAsia" w:eastAsia="宋体"/>
          <w:b/>
          <w:bCs w:val="0"/>
          <w:i w:val="0"/>
          <w:iCs w:val="0"/>
          <w:lang w:val="en-US" w:eastAsia="zh-CN"/>
        </w:rPr>
        <w:t>Proposal 2: At least for initial CE level selection for CB-Msg3 EDT, the existing RSRP threshold and CE level configuration could be reused as baseline.</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2.1.3 TBS for different CE levels</w:t>
      </w:r>
    </w:p>
    <w:p>
      <w:pPr>
        <w:rPr>
          <w:rFonts w:hint="default"/>
          <w:lang w:val="en-US" w:eastAsia="zh-CN"/>
        </w:rPr>
      </w:pPr>
      <w:r>
        <w:rPr>
          <w:rFonts w:hint="eastAsia"/>
          <w:lang w:val="en-US" w:eastAsia="zh-CN"/>
        </w:rPr>
        <w:t>In the existing EDT procedure, the largest TBS value is provided in system information per CE level.</w:t>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13145" cy="2745105"/>
            <wp:effectExtent l="0" t="0" r="1905" b="17145"/>
            <wp:docPr id="3" name="图片 3" descr="1734315186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4315186737"/>
                    <pic:cNvPicPr>
                      <a:picLocks noChangeAspect="1"/>
                    </pic:cNvPicPr>
                  </pic:nvPicPr>
                  <pic:blipFill>
                    <a:blip r:embed="rId13"/>
                    <a:stretch>
                      <a:fillRect/>
                    </a:stretch>
                  </pic:blipFill>
                  <pic:spPr>
                    <a:xfrm>
                      <a:off x="0" y="0"/>
                      <a:ext cx="6113145" cy="2745105"/>
                    </a:xfrm>
                    <a:prstGeom prst="rect">
                      <a:avLst/>
                    </a:prstGeom>
                  </pic:spPr>
                </pic:pic>
              </a:graphicData>
            </a:graphic>
          </wp:inline>
        </w:drawing>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20130" cy="535305"/>
            <wp:effectExtent l="0" t="0" r="13970" b="17145"/>
            <wp:docPr id="4" name="图片 4" descr="173431523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4315238603"/>
                    <pic:cNvPicPr>
                      <a:picLocks noChangeAspect="1"/>
                    </pic:cNvPicPr>
                  </pic:nvPicPr>
                  <pic:blipFill>
                    <a:blip r:embed="rId14"/>
                    <a:stretch>
                      <a:fillRect/>
                    </a:stretch>
                  </pic:blipFill>
                  <pic:spPr>
                    <a:xfrm>
                      <a:off x="0" y="0"/>
                      <a:ext cx="6120130" cy="535305"/>
                    </a:xfrm>
                    <a:prstGeom prst="rect">
                      <a:avLst/>
                    </a:prstGeom>
                  </pic:spPr>
                </pic:pic>
              </a:graphicData>
            </a:graphic>
          </wp:inline>
        </w:drawing>
      </w:r>
    </w:p>
    <w:p>
      <w:pPr>
        <w:rPr>
          <w:rFonts w:hint="default" w:eastAsia="宋体"/>
          <w:b w:val="0"/>
          <w:bCs/>
          <w:i w:val="0"/>
          <w:iCs w:val="0"/>
          <w:lang w:val="en-US" w:eastAsia="zh-CN"/>
        </w:rPr>
      </w:pPr>
      <w:r>
        <w:rPr>
          <w:rFonts w:hint="eastAsia" w:eastAsia="宋体"/>
          <w:b w:val="0"/>
          <w:bCs/>
          <w:i w:val="0"/>
          <w:iCs w:val="0"/>
          <w:lang w:val="en-US" w:eastAsia="zh-CN"/>
        </w:rPr>
        <w:t xml:space="preserve">And the specific selection procedure is in TS 36.321 depicted as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3" w:name="_Toc52536210"/>
            <w:bookmarkStart w:id="4" w:name="_Toc178249168"/>
            <w:bookmarkStart w:id="5" w:name="_Toc29242951"/>
            <w:bookmarkStart w:id="6" w:name="_Toc37256208"/>
            <w:bookmarkStart w:id="7" w:name="_Toc37256362"/>
            <w:bookmarkStart w:id="8" w:name="_Toc46500301"/>
            <w:r>
              <w:t>5.1.2</w:t>
            </w:r>
            <w:r>
              <w:tab/>
            </w:r>
            <w:r>
              <w:t>Random Access Resource selection</w:t>
            </w:r>
            <w:bookmarkEnd w:id="3"/>
            <w:bookmarkEnd w:id="4"/>
            <w:bookmarkEnd w:id="5"/>
            <w:bookmarkEnd w:id="6"/>
            <w:bookmarkEnd w:id="7"/>
            <w:bookmarkEnd w:id="8"/>
          </w:p>
          <w:p>
            <w:r>
              <w:t xml:space="preserve">The Random Access Resource </w:t>
            </w:r>
            <w:r>
              <w:rPr>
                <w:lang w:eastAsia="zh-CN"/>
              </w:rPr>
              <w:t xml:space="preserve">selection </w:t>
            </w:r>
            <w:r>
              <w:t>procedure shall be performed as follows:</w:t>
            </w:r>
          </w:p>
          <w:p>
            <w:pPr>
              <w:pStyle w:val="60"/>
            </w:pPr>
            <w:r>
              <w:t>-</w:t>
            </w:r>
            <w:r>
              <w:tab/>
            </w:r>
            <w:r>
              <w:t>for BL UEs or UEs in enhanced coverage or NB-IoT UEs, if EDT is initiated by the upper layers:</w:t>
            </w:r>
          </w:p>
          <w:p>
            <w:pPr>
              <w:pStyle w:val="61"/>
            </w:pPr>
            <w:r>
              <w:t>-</w:t>
            </w:r>
            <w:r>
              <w:tab/>
            </w:r>
            <w:r>
              <w:t xml:space="preserve">if the message size (UL data available for transmission plus MAC header and, where required, MAC control elements) is larger than the TB size signalled in </w:t>
            </w:r>
            <w:r>
              <w:rPr>
                <w:i/>
              </w:rPr>
              <w:t>edt-TBS</w:t>
            </w:r>
            <w:r>
              <w:t xml:space="preserve"> for the selected enhanced coverage level for EDT; or</w:t>
            </w:r>
          </w:p>
          <w:p>
            <w:pPr>
              <w:pStyle w:val="61"/>
            </w:pPr>
            <w:r>
              <w:t>-</w:t>
            </w:r>
            <w:r>
              <w:tab/>
            </w:r>
            <w:r>
              <w:t>if the PRACH resource associated with EDT for the selected enhanced coverage level is not available:</w:t>
            </w:r>
          </w:p>
          <w:p>
            <w:pPr>
              <w:pStyle w:val="62"/>
            </w:pPr>
            <w:r>
              <w:t>-</w:t>
            </w:r>
            <w:r>
              <w:tab/>
            </w:r>
            <w:r>
              <w:t>indicate to upper layers that EDT is cancelled;</w:t>
            </w:r>
          </w:p>
          <w:p>
            <w:pPr>
              <w:pStyle w:val="60"/>
            </w:pPr>
            <w:r>
              <w:t>-</w:t>
            </w:r>
            <w:r>
              <w:tab/>
            </w:r>
            <w:r>
              <w:t>for BL UEs or UEs in enhanced coverage, select the PRACH resource set corresponding to the selected enhanced coverage level. For EDT, the PRACH resource set shall correspond to the set associated with EDT for the selected enhanced coverage level.</w:t>
            </w:r>
          </w:p>
          <w:p>
            <w:pPr>
              <w:rPr>
                <w:rFonts w:hint="default" w:eastAsia="宋体"/>
                <w:b w:val="0"/>
                <w:bCs/>
                <w:i w:val="0"/>
                <w:iCs w:val="0"/>
                <w:vertAlign w:val="baseline"/>
                <w:lang w:val="en-US" w:eastAsia="zh-CN"/>
              </w:rPr>
            </w:pPr>
            <w:r>
              <w:rPr>
                <w:rFonts w:hint="eastAsia" w:eastAsia="宋体"/>
                <w:b w:val="0"/>
                <w:bCs/>
                <w:i w:val="0"/>
                <w:iCs w:val="0"/>
                <w:highlight w:val="cyan"/>
                <w:vertAlign w:val="baseline"/>
                <w:lang w:val="en-US" w:eastAsia="zh-CN"/>
              </w:rPr>
              <w:t>&lt;&lt;omitted&gt;&gt;</w:t>
            </w:r>
          </w:p>
        </w:tc>
      </w:tr>
    </w:tbl>
    <w:p>
      <w:pPr>
        <w:rPr>
          <w:rFonts w:hint="default" w:eastAsia="宋体"/>
          <w:b w:val="0"/>
          <w:bCs/>
          <w:i w:val="0"/>
          <w:iCs w:val="0"/>
          <w:lang w:val="en-US" w:eastAsia="zh-CN"/>
        </w:rPr>
      </w:pPr>
      <w:r>
        <w:rPr>
          <w:rFonts w:hint="eastAsia" w:eastAsia="宋体"/>
          <w:b w:val="0"/>
          <w:bCs/>
          <w:i w:val="0"/>
          <w:iCs w:val="0"/>
          <w:lang w:val="en-US" w:eastAsia="zh-CN"/>
        </w:rPr>
        <w:t xml:space="preserve">Based on above description, the maximum TBS used for existing EDT triggering is configured per CE level, but there is no restriction that different CE levels must be configured with different maximum TBA values. Therefore, for CB-Msg3 EDT, we could reuse existing configuration solution, that is provide </w:t>
      </w:r>
      <w:r>
        <w:t>maximum TBS</w:t>
      </w:r>
      <w:r>
        <w:rPr>
          <w:rFonts w:hint="eastAsia" w:eastAsia="宋体"/>
          <w:lang w:val="en-US" w:eastAsia="zh-CN"/>
        </w:rPr>
        <w:t xml:space="preserve"> per CE level, and whether configure same maximum TBS value for different CE level is up to network configuration.</w:t>
      </w:r>
    </w:p>
    <w:p>
      <w:pPr>
        <w:rPr>
          <w:rFonts w:hint="default" w:eastAsia="宋体"/>
          <w:b/>
          <w:bCs w:val="0"/>
          <w:i w:val="0"/>
          <w:iCs w:val="0"/>
          <w:lang w:val="en-US" w:eastAsia="zh-CN"/>
        </w:rPr>
      </w:pPr>
      <w:r>
        <w:rPr>
          <w:rFonts w:hint="eastAsia" w:eastAsia="宋体"/>
          <w:b/>
          <w:bCs w:val="0"/>
          <w:i w:val="0"/>
          <w:iCs w:val="0"/>
          <w:lang w:val="en-US" w:eastAsia="zh-CN"/>
        </w:rPr>
        <w:t>Proposal 3: Reuse existing configuration solution, that is provide maximum TBS per CE level, and whether configure same maximum TBS value for different CE level is up to network configuration.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2.1.4 DSA CB-Msg3 occasion selection window</w:t>
      </w:r>
    </w:p>
    <w:p>
      <w:pPr>
        <w:rPr>
          <w:rFonts w:hint="eastAsia" w:eastAsia="宋体"/>
          <w:b w:val="0"/>
          <w:bCs/>
          <w:i w:val="0"/>
          <w:iCs w:val="0"/>
          <w:lang w:val="en-US" w:eastAsia="zh-CN"/>
        </w:rPr>
      </w:pPr>
      <w:r>
        <w:rPr>
          <w:rFonts w:hint="eastAsia" w:eastAsia="宋体"/>
          <w:b w:val="0"/>
          <w:bCs/>
          <w:i w:val="0"/>
          <w:iCs w:val="0"/>
          <w:lang w:val="en-US" w:eastAsia="zh-CN"/>
        </w:rPr>
        <w:t>Regarding the CB-Msg3 occasion selection window for DSA case, firstly we need to discuss how to configure the time window for multiple replicas. There may be 3 options could be considered:</w:t>
      </w:r>
    </w:p>
    <w:p>
      <w:pPr>
        <w:rPr>
          <w:rFonts w:hint="eastAsia" w:eastAsia="宋体"/>
          <w:lang w:val="en-US" w:eastAsia="zh-CN"/>
        </w:rPr>
      </w:pPr>
      <w:r>
        <w:rPr>
          <w:rFonts w:hint="eastAsia" w:eastAsia="宋体"/>
          <w:b/>
          <w:bCs w:val="0"/>
          <w:i w:val="0"/>
          <w:iCs w:val="0"/>
          <w:lang w:val="en-US" w:eastAsia="zh-CN"/>
        </w:rPr>
        <w:t>Option 1:</w:t>
      </w:r>
      <w:r>
        <w:rPr>
          <w:rFonts w:hint="eastAsia" w:eastAsia="宋体"/>
          <w:b w:val="0"/>
          <w:bCs/>
          <w:i w:val="0"/>
          <w:iCs w:val="0"/>
          <w:lang w:val="en-US" w:eastAsia="zh-CN"/>
        </w:rPr>
        <w:t xml:space="preserve"> Configure only one big time window, and UE select randomly</w:t>
      </w:r>
      <w:r>
        <w:t xml:space="preserve"> different time domain occasions for transmitting different replicas</w:t>
      </w:r>
      <w:r>
        <w:rPr>
          <w:rFonts w:hint="eastAsia" w:eastAsia="宋体"/>
          <w:lang w:val="en-US" w:eastAsia="zh-CN"/>
        </w:rPr>
        <w:t xml:space="preserve"> </w:t>
      </w:r>
    </w:p>
    <w:p>
      <w:pPr>
        <w:rPr>
          <w:rFonts w:hint="eastAsia" w:eastAsia="宋体"/>
          <w:lang w:val="en-US" w:eastAsia="zh-CN"/>
        </w:rPr>
      </w:pPr>
      <w:r>
        <w:rPr>
          <w:rFonts w:hint="eastAsia" w:eastAsia="宋体"/>
          <w:b/>
          <w:bCs/>
          <w:lang w:val="en-US" w:eastAsia="zh-CN"/>
        </w:rPr>
        <w:t xml:space="preserve">Option 2: </w:t>
      </w:r>
      <w:r>
        <w:rPr>
          <w:rFonts w:hint="eastAsia" w:eastAsia="宋体"/>
          <w:lang w:val="en-US" w:eastAsia="zh-CN"/>
        </w:rPr>
        <w:t xml:space="preserve">Configure multiple time windows according to replica number, and one replica for each window </w:t>
      </w:r>
    </w:p>
    <w:p>
      <w:pPr>
        <w:rPr>
          <w:rFonts w:hint="default" w:eastAsia="宋体"/>
          <w:lang w:val="en-US" w:eastAsia="zh-CN"/>
        </w:rPr>
      </w:pPr>
      <w:r>
        <w:rPr>
          <w:rFonts w:hint="eastAsia" w:eastAsia="宋体"/>
          <w:b/>
          <w:bCs/>
          <w:lang w:val="en-US" w:eastAsia="zh-CN"/>
        </w:rPr>
        <w:t xml:space="preserve">Option 3: </w:t>
      </w:r>
      <w:r>
        <w:rPr>
          <w:rFonts w:hint="eastAsia" w:eastAsia="宋体"/>
          <w:lang w:val="en-US" w:eastAsia="zh-CN"/>
        </w:rPr>
        <w:t xml:space="preserve">Configure multiple time windows, and </w:t>
      </w:r>
      <w:r>
        <w:rPr>
          <w:rFonts w:hint="eastAsia" w:eastAsia="宋体"/>
          <w:b w:val="0"/>
          <w:bCs/>
          <w:i w:val="0"/>
          <w:iCs w:val="0"/>
          <w:lang w:val="en-US" w:eastAsia="zh-CN"/>
        </w:rPr>
        <w:t>UE select randomly</w:t>
      </w:r>
      <w:r>
        <w:t xml:space="preserve"> different time domain occasions for transmitting different replicas</w:t>
      </w:r>
      <w:r>
        <w:rPr>
          <w:rFonts w:hint="eastAsia" w:eastAsia="宋体"/>
          <w:lang w:val="en-US" w:eastAsia="zh-CN"/>
        </w:rPr>
        <w:t xml:space="preserve"> in different windows (in this case, the number of windows does not necessarily match the number of replicas).</w:t>
      </w:r>
    </w:p>
    <w:p>
      <w:pPr>
        <w:rPr>
          <w:rFonts w:hint="default" w:eastAsia="宋体"/>
          <w:lang w:val="en-US" w:eastAsia="zh-CN"/>
        </w:rPr>
      </w:pPr>
      <w:r>
        <w:rPr>
          <w:rFonts w:hint="eastAsia" w:eastAsia="宋体"/>
          <w:lang w:val="en-US" w:eastAsia="zh-CN"/>
        </w:rPr>
        <w:t>For option 1, it is simple for network configuration, however, the probability of replica collision is higher compared to option 2 and 3. Option 2 has the lowest collision among the 3 options but with high overhead at network side. Then option 3 alleviate the replica collision to some extent, and the network configuration is not so complicated in comparison to option 2.</w:t>
      </w:r>
    </w:p>
    <w:p>
      <w:pPr>
        <w:rPr>
          <w:rFonts w:hint="eastAsia" w:eastAsia="宋体"/>
          <w:b/>
          <w:bCs w:val="0"/>
          <w:i w:val="0"/>
          <w:iCs w:val="0"/>
          <w:lang w:val="en-US" w:eastAsia="zh-CN"/>
        </w:rPr>
      </w:pPr>
      <w:r>
        <w:rPr>
          <w:rFonts w:hint="eastAsia" w:eastAsia="宋体"/>
          <w:b/>
          <w:bCs w:val="0"/>
          <w:i w:val="0"/>
          <w:iCs w:val="0"/>
          <w:lang w:val="en-US" w:eastAsia="zh-CN"/>
        </w:rPr>
        <w:t>Proposal 4: It is proposed the following 3 options for DSA CB-Msg3 occasion selection window configuration for RAN2 discussion:</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 xml:space="preserve">Option 1: Configure only one big time window, and UE select randomly different time domain occasions for transmitting different replicas </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Option 2: Configure multiple time window</w:t>
      </w:r>
      <w:r>
        <w:rPr>
          <w:rFonts w:hint="eastAsia" w:eastAsia="宋体"/>
          <w:b/>
          <w:bCs w:val="0"/>
          <w:i w:val="0"/>
          <w:iCs w:val="0"/>
          <w:lang w:val="en-US" w:eastAsia="zh-CN"/>
        </w:rPr>
        <w:t>s</w:t>
      </w:r>
      <w:r>
        <w:rPr>
          <w:rFonts w:hint="default" w:eastAsia="宋体"/>
          <w:b/>
          <w:bCs w:val="0"/>
          <w:i w:val="0"/>
          <w:iCs w:val="0"/>
          <w:lang w:val="en-US" w:eastAsia="zh-CN"/>
        </w:rPr>
        <w:t xml:space="preserve"> according to replica number, and one replica for each window </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Option 3: Configure multiple time wi</w:t>
      </w:r>
      <w:r>
        <w:rPr>
          <w:rFonts w:hint="eastAsia" w:eastAsia="宋体"/>
          <w:b/>
          <w:bCs w:val="0"/>
          <w:i w:val="0"/>
          <w:iCs w:val="0"/>
          <w:lang w:val="en-US" w:eastAsia="zh-CN"/>
        </w:rPr>
        <w:t>n</w:t>
      </w:r>
      <w:r>
        <w:rPr>
          <w:rFonts w:hint="default" w:eastAsia="宋体"/>
          <w:b/>
          <w:bCs w:val="0"/>
          <w:i w:val="0"/>
          <w:iCs w:val="0"/>
          <w:lang w:val="en-US" w:eastAsia="zh-CN"/>
        </w:rPr>
        <w:t>dow</w:t>
      </w:r>
      <w:r>
        <w:rPr>
          <w:rFonts w:hint="eastAsia" w:eastAsia="宋体"/>
          <w:b/>
          <w:bCs w:val="0"/>
          <w:i w:val="0"/>
          <w:iCs w:val="0"/>
          <w:lang w:val="en-US" w:eastAsia="zh-CN"/>
        </w:rPr>
        <w:t>s</w:t>
      </w:r>
      <w:r>
        <w:rPr>
          <w:rFonts w:hint="default" w:eastAsia="宋体"/>
          <w:b/>
          <w:bCs w:val="0"/>
          <w:i w:val="0"/>
          <w:iCs w:val="0"/>
          <w:lang w:val="en-US" w:eastAsia="zh-CN"/>
        </w:rPr>
        <w:t>, and UE select randomly different time domain occasions for transmitting different replicas in different window</w:t>
      </w:r>
      <w:r>
        <w:rPr>
          <w:rFonts w:hint="eastAsia" w:eastAsia="宋体"/>
          <w:b/>
          <w:bCs w:val="0"/>
          <w:i w:val="0"/>
          <w:iCs w:val="0"/>
          <w:lang w:val="en-US" w:eastAsia="zh-CN"/>
        </w:rPr>
        <w:t>s</w:t>
      </w:r>
      <w:r>
        <w:rPr>
          <w:rFonts w:hint="default" w:eastAsia="宋体"/>
          <w:b/>
          <w:bCs w:val="0"/>
          <w:i w:val="0"/>
          <w:iCs w:val="0"/>
          <w:lang w:val="en-US" w:eastAsia="zh-CN"/>
        </w:rPr>
        <w:t xml:space="preserve"> (in this case, the number of windows does not necessarily match the number of replicas).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宋体"/>
          <w:b/>
          <w:bCs w:val="0"/>
          <w:i w:val="0"/>
          <w:iCs w:val="0"/>
          <w:sz w:val="24"/>
          <w:szCs w:val="24"/>
          <w:lang w:val="en-US" w:eastAsia="zh-CN"/>
        </w:rPr>
      </w:pPr>
      <w:r>
        <w:rPr>
          <w:rFonts w:hint="eastAsia" w:eastAsia="宋体" w:cs="Arial"/>
          <w:b/>
          <w:bCs/>
          <w:sz w:val="24"/>
          <w:szCs w:val="24"/>
          <w:lang w:val="en-US" w:eastAsia="zh-CN"/>
        </w:rPr>
        <w:t>2.1.5 Implicit pointer for DSA</w:t>
      </w:r>
    </w:p>
    <w:p>
      <w:pPr>
        <w:pStyle w:val="60"/>
        <w:spacing w:after="0"/>
        <w:ind w:left="0" w:firstLine="0"/>
        <w:rPr>
          <w:rFonts w:hint="default" w:eastAsia="宋体"/>
          <w:lang w:val="en-US" w:eastAsia="zh-CN"/>
        </w:rPr>
      </w:pPr>
      <w:r>
        <w:rPr>
          <w:rFonts w:hint="eastAsia" w:eastAsia="宋体"/>
          <w:b w:val="0"/>
          <w:bCs/>
          <w:i w:val="0"/>
          <w:iCs w:val="0"/>
          <w:lang w:val="en-US" w:eastAsia="zh-CN"/>
        </w:rPr>
        <w:t>Whether introduce an</w:t>
      </w:r>
      <w:r>
        <w:t xml:space="preserve"> implicit pointer </w:t>
      </w:r>
      <w:r>
        <w:rPr>
          <w:rFonts w:hint="eastAsia" w:eastAsia="宋体"/>
          <w:lang w:val="en-US" w:eastAsia="zh-CN"/>
        </w:rPr>
        <w:t xml:space="preserve">to </w:t>
      </w:r>
      <w:r>
        <w:t>allow the network infer the positions of the DSA replicas</w:t>
      </w:r>
      <w:r>
        <w:rPr>
          <w:rFonts w:hint="eastAsia" w:eastAsia="宋体"/>
          <w:lang w:val="en-US" w:eastAsia="zh-CN"/>
        </w:rPr>
        <w:t xml:space="preserve"> is raised </w:t>
      </w:r>
      <w:r>
        <w:rPr>
          <w:rFonts w:hint="eastAsia" w:eastAsia="宋体"/>
          <w:b w:val="0"/>
          <w:bCs/>
          <w:i w:val="0"/>
          <w:iCs w:val="0"/>
          <w:lang w:val="en-US" w:eastAsia="zh-CN"/>
        </w:rPr>
        <w:t xml:space="preserve">in lasting meeting, </w:t>
      </w:r>
      <w:r>
        <w:rPr>
          <w:rFonts w:hint="eastAsia" w:eastAsia="宋体"/>
          <w:lang w:val="en-US" w:eastAsia="zh-CN"/>
        </w:rPr>
        <w:t xml:space="preserve">but without convergence.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pPr>
            <w:r>
              <w:t>Proposal 1: RAN2 to consider the use of an implicit pointer to allow the network infer the positions of the DSA replicas sent by a UE over the available set of EDT occasions.</w:t>
            </w:r>
          </w:p>
          <w:p>
            <w:pPr>
              <w:pStyle w:val="54"/>
            </w:pPr>
            <w:r>
              <w:t>-</w:t>
            </w:r>
            <w:r>
              <w:tab/>
            </w:r>
            <w:r>
              <w:t xml:space="preserve">Xiaomi thinks this would be useful for CRDSA but not necessarily for DSA. CATT agrees and thinks this might also have RAN1 impacts. </w:t>
            </w:r>
          </w:p>
          <w:p>
            <w:pPr>
              <w:pStyle w:val="54"/>
            </w:pPr>
            <w:r>
              <w:t>-</w:t>
            </w:r>
            <w:r>
              <w:tab/>
            </w:r>
            <w:r>
              <w:t>vivo also doesn’t think this is needed.</w:t>
            </w:r>
          </w:p>
          <w:p>
            <w:pPr>
              <w:pStyle w:val="54"/>
            </w:pPr>
            <w:r>
              <w:t>-</w:t>
            </w:r>
            <w:r>
              <w:tab/>
            </w:r>
            <w:r>
              <w:t>Toyota thinks this could be useful to have some testable UE behaviour</w:t>
            </w:r>
          </w:p>
          <w:p>
            <w:pPr>
              <w:pStyle w:val="54"/>
            </w:pPr>
            <w:r>
              <w:t>-</w:t>
            </w:r>
            <w:r>
              <w:tab/>
            </w:r>
            <w:r>
              <w:t>QC thinks this could also be useful for DSA as well</w:t>
            </w:r>
          </w:p>
          <w:p>
            <w:pPr>
              <w:pStyle w:val="54"/>
            </w:pPr>
            <w:r>
              <w:t>-</w:t>
            </w:r>
            <w:r>
              <w:tab/>
            </w:r>
            <w:r>
              <w:t>Ericsson thinks this could be useful, at least for the testing reasons and maybe also at the NW side. Nokia also sees some benefits and thinks that proponents can bring a more detailed solution that can be checked</w:t>
            </w:r>
          </w:p>
          <w:p>
            <w:pPr>
              <w:pStyle w:val="54"/>
            </w:pPr>
            <w:r>
              <w:t>-</w:t>
            </w:r>
            <w:r>
              <w:tab/>
            </w:r>
            <w:r>
              <w:t>HW is not convinced this is needed. ZTE shares the same view.</w:t>
            </w:r>
          </w:p>
          <w:p>
            <w:pPr>
              <w:pStyle w:val="107"/>
              <w:rPr>
                <w:rFonts w:hint="default" w:eastAsia="宋体"/>
                <w:vertAlign w:val="baseline"/>
                <w:lang w:val="en-US" w:eastAsia="zh-CN"/>
              </w:rPr>
            </w:pPr>
            <w:r>
              <w:t>Can continue the discussion in the next meeting</w:t>
            </w:r>
          </w:p>
        </w:tc>
      </w:tr>
    </w:tbl>
    <w:p>
      <w:pPr>
        <w:pStyle w:val="60"/>
        <w:spacing w:after="0"/>
        <w:ind w:left="0" w:firstLine="0"/>
        <w:rPr>
          <w:rFonts w:hint="eastAsia" w:eastAsia="宋体"/>
          <w:lang w:val="en-US" w:eastAsia="zh-CN"/>
        </w:rPr>
      </w:pPr>
      <w:r>
        <w:rPr>
          <w:rFonts w:hint="eastAsia" w:eastAsia="宋体"/>
          <w:lang w:val="en-US" w:eastAsia="zh-CN"/>
        </w:rPr>
        <w:t xml:space="preserve">A algorithm is provided in [2] using hash function and pseudo-random solution. As we known, the main characteristic of DSA is that replicas are sent randomly at UE side, and network is not able to obtain the position of every replica, which is different from the CRDSA carrying the slot position information of the corresponding twin packet within the frame in each packet. Therefore, it is unnecessary to introduce either implicit or explicit indication method to optimize DSA into a CRDSA-like mechanism. </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5: Not introduce a pointer to allow the network infer the positions of the DSA replicas.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宋体"/>
          <w:b/>
          <w:bCs w:val="0"/>
          <w:i w:val="0"/>
          <w:iCs w:val="0"/>
          <w:sz w:val="24"/>
          <w:szCs w:val="24"/>
          <w:lang w:val="en-US" w:eastAsia="zh-CN"/>
        </w:rPr>
      </w:pPr>
      <w:r>
        <w:rPr>
          <w:rFonts w:hint="eastAsia" w:eastAsia="宋体" w:cs="Arial"/>
          <w:b/>
          <w:bCs/>
          <w:sz w:val="24"/>
          <w:szCs w:val="24"/>
          <w:lang w:val="en-US" w:eastAsia="zh-CN"/>
        </w:rPr>
        <w:t>2.1.6</w:t>
      </w:r>
      <w:bookmarkStart w:id="15" w:name="_GoBack"/>
      <w:bookmarkEnd w:id="15"/>
      <w:r>
        <w:rPr>
          <w:rFonts w:hint="eastAsia" w:eastAsia="宋体" w:cs="Arial"/>
          <w:b/>
          <w:bCs/>
          <w:sz w:val="24"/>
          <w:szCs w:val="24"/>
          <w:lang w:val="en-US" w:eastAsia="zh-CN"/>
        </w:rPr>
        <w:t xml:space="preserve"> CB-Msg3 content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Per the existing MO-EDT, Msg3 includes </w:t>
      </w:r>
      <w:r>
        <w:rPr>
          <w:rFonts w:ascii="Arial" w:hAnsi="Arial" w:eastAsia="宋体" w:cs="Arial"/>
          <w:i/>
          <w:iCs/>
          <w:lang w:val="en-US" w:eastAsia="zh-CN"/>
        </w:rPr>
        <w:t>RRCEarlyDataRequest</w:t>
      </w:r>
      <w:r>
        <w:rPr>
          <w:rFonts w:ascii="Arial" w:hAnsi="Arial" w:eastAsia="宋体" w:cs="Arial"/>
          <w:lang w:val="en-US" w:eastAsia="zh-CN"/>
        </w:rPr>
        <w:t xml:space="preserve"> message concatenating the user data on CCCH</w:t>
      </w:r>
      <w:r>
        <w:rPr>
          <w:rFonts w:hint="eastAsia" w:eastAsia="宋体" w:cs="Arial"/>
          <w:lang w:val="en-US" w:eastAsia="zh-CN"/>
        </w:rPr>
        <w:t xml:space="preserve"> or </w:t>
      </w:r>
      <w:r>
        <w:rPr>
          <w:rFonts w:hint="eastAsia" w:eastAsia="宋体" w:cs="Arial"/>
          <w:i/>
          <w:iCs/>
          <w:lang w:val="en-US" w:eastAsia="zh-CN"/>
        </w:rPr>
        <w:t>RRCConnectionResumeRequest</w:t>
      </w:r>
      <w:r>
        <w:rPr>
          <w:rFonts w:hint="eastAsia" w:eastAsia="宋体" w:cs="Arial"/>
          <w:lang w:val="en-US" w:eastAsia="zh-CN"/>
        </w:rPr>
        <w:t xml:space="preserve"> message on CCCH multiplexed with uplink user data on DTCH for </w:t>
      </w:r>
      <w:r>
        <w:rPr>
          <w:rFonts w:ascii="Arial" w:hAnsi="Arial" w:eastAsia="宋体" w:cs="Arial"/>
          <w:lang w:val="en-US" w:eastAsia="zh-CN"/>
        </w:rPr>
        <w:t>Control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and </w:t>
      </w:r>
      <w:r>
        <w:rPr>
          <w:rFonts w:ascii="Arial" w:hAnsi="Arial" w:eastAsia="宋体" w:cs="Arial"/>
          <w:lang w:val="en-US" w:eastAsia="zh-CN"/>
        </w:rPr>
        <w:t>User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respectively. Then for the Msg3 content in </w:t>
      </w:r>
      <w:r>
        <w:t>contention-based Msg3 transmission</w:t>
      </w:r>
      <w:r>
        <w:rPr>
          <w:rFonts w:hint="eastAsia" w:eastAsia="宋体"/>
          <w:lang w:val="en-US" w:eastAsia="zh-CN"/>
        </w:rPr>
        <w:t xml:space="preserve">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6: For the Msg3 content for CBS-msg3 EDT transmission in IoT-NTN, the Msg3 content in current MO-EDT could be the baseline.</w:t>
      </w:r>
    </w:p>
    <w:p>
      <w:pPr>
        <w:pStyle w:val="3"/>
        <w:bidi w:val="0"/>
        <w:rPr>
          <w:rFonts w:hint="default" w:eastAsia="宋体"/>
          <w:b/>
          <w:bCs w:val="0"/>
          <w:i w:val="0"/>
          <w:iCs w:val="0"/>
          <w:sz w:val="24"/>
          <w:szCs w:val="24"/>
          <w:lang w:val="en-US" w:eastAsia="zh-CN"/>
        </w:rPr>
      </w:pPr>
      <w:r>
        <w:rPr>
          <w:rFonts w:hint="eastAsia" w:eastAsiaTheme="minorEastAsia"/>
          <w:b/>
          <w:bCs/>
          <w:sz w:val="24"/>
          <w:szCs w:val="24"/>
          <w:u w:val="none"/>
          <w:lang w:val="en-US" w:eastAsia="zh-CN"/>
        </w:rPr>
        <w:t xml:space="preserve"> Msg4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2.2.1 Msg4 reception</w:t>
      </w:r>
    </w:p>
    <w:p>
      <w:pPr>
        <w:rPr>
          <w:rFonts w:hint="eastAsia" w:eastAsia="宋体"/>
          <w:b w:val="0"/>
          <w:bCs/>
          <w:i w:val="0"/>
          <w:iCs w:val="0"/>
          <w:lang w:val="en-US" w:eastAsia="zh-CN"/>
        </w:rPr>
      </w:pPr>
      <w:r>
        <w:rPr>
          <w:rFonts w:hint="eastAsia" w:eastAsia="宋体"/>
          <w:b w:val="0"/>
          <w:bCs/>
          <w:i w:val="0"/>
          <w:iCs w:val="0"/>
          <w:lang w:val="en-US" w:eastAsia="zh-CN"/>
        </w:rPr>
        <w:t xml:space="preserve">For PDCCH monitoring window, for SA case, the window length is agreed to take UE-eNB RTT into account and FFS additional delay (e.g. processing time). In this case, it is similar as the existing transmission using PUR, which considers both the processing time and UE-eNB RTT to start or restart </w:t>
      </w:r>
      <w:r>
        <w:rPr>
          <w:i/>
        </w:rPr>
        <w:t>pur-ResponseWindowTimer</w:t>
      </w:r>
      <w:r>
        <w:rPr>
          <w:rFonts w:hint="eastAsia" w:eastAsia="宋体"/>
          <w:i/>
          <w:lang w:val="en-US" w:eastAsia="zh-CN"/>
        </w:rPr>
        <w:t xml:space="preserve"> </w:t>
      </w:r>
      <w:r>
        <w:rPr>
          <w:rFonts w:hint="eastAsia" w:eastAsia="宋体"/>
          <w:b w:val="0"/>
          <w:bCs/>
          <w:i w:val="0"/>
          <w:iCs w:val="0"/>
          <w:lang w:val="en-US" w:eastAsia="zh-CN"/>
        </w:rPr>
        <w:t>in NTN network.</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ind w:left="142" w:leftChars="0"/>
            </w:pPr>
            <w:bookmarkStart w:id="9" w:name="_Toc178249194"/>
            <w:bookmarkStart w:id="10" w:name="_Toc52536235"/>
            <w:bookmarkStart w:id="11" w:name="_Toc46500326"/>
            <w:bookmarkStart w:id="12" w:name="_Toc37256387"/>
            <w:bookmarkStart w:id="13" w:name="_Toc37256233"/>
            <w:r>
              <w:t>5.4.7.1</w:t>
            </w:r>
            <w:r>
              <w:tab/>
            </w:r>
            <w:r>
              <w:t>Transmission using PUR</w:t>
            </w:r>
            <w:bookmarkEnd w:id="9"/>
            <w:bookmarkEnd w:id="10"/>
            <w:bookmarkEnd w:id="11"/>
            <w:bookmarkEnd w:id="12"/>
            <w:bookmarkEnd w:id="13"/>
          </w:p>
          <w:p>
            <w:pPr>
              <w:pStyle w:val="60"/>
              <w:ind w:left="0" w:leftChars="0" w:firstLine="0" w:firstLineChars="0"/>
              <w:rPr>
                <w:highlight w:val="cyan"/>
              </w:rPr>
            </w:pPr>
            <w:r>
              <w:rPr>
                <w:rFonts w:hint="eastAsia" w:eastAsia="宋体"/>
                <w:b w:val="0"/>
                <w:bCs/>
                <w:i w:val="0"/>
                <w:iCs w:val="0"/>
                <w:highlight w:val="cyan"/>
                <w:vertAlign w:val="baseline"/>
                <w:lang w:val="en-US" w:eastAsia="zh-CN"/>
              </w:rPr>
              <w:t>&lt;&lt;omitted&gt;&gt;</w:t>
            </w:r>
          </w:p>
          <w:p>
            <w:pPr>
              <w:rPr>
                <w:iCs/>
              </w:rPr>
            </w:pPr>
            <w:r>
              <w:t xml:space="preserve">After transmission using PUR, the MAC entity shall monitor PDCCH identified by PUR-RNTI in the PUR response window using timer </w:t>
            </w:r>
            <w:r>
              <w:rPr>
                <w:i/>
              </w:rPr>
              <w:t>pur-ResponseWindowTimer</w:t>
            </w:r>
            <w:r>
              <w:rPr>
                <w:iCs/>
              </w:rPr>
              <w:t>:</w:t>
            </w:r>
          </w:p>
          <w:p>
            <w:pPr>
              <w:pStyle w:val="60"/>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pPr>
              <w:pStyle w:val="61"/>
              <w:rPr>
                <w:highlight w:val="none"/>
              </w:rPr>
            </w:pPr>
            <w:r>
              <w:t>-</w:t>
            </w:r>
            <w:r>
              <w:tab/>
            </w:r>
            <w:r>
              <w:t xml:space="preserve">the MAC entity shall </w:t>
            </w:r>
            <w:r>
              <w:rPr>
                <w:color w:val="000000" w:themeColor="text1"/>
                <w:highlight w:val="yellow"/>
                <w14:textFill>
                  <w14:solidFill>
                    <w14:schemeClr w14:val="tx1"/>
                  </w14:solidFill>
                </w14:textFill>
              </w:rPr>
              <w:t xml:space="preserve">start </w:t>
            </w:r>
            <w:r>
              <w:rPr>
                <w:i/>
                <w:color w:val="000000" w:themeColor="text1"/>
                <w:highlight w:val="yellow"/>
                <w14:textFill>
                  <w14:solidFill>
                    <w14:schemeClr w14:val="tx1"/>
                  </w14:solidFill>
                </w14:textFill>
              </w:rPr>
              <w:t>pur-ResponseWindowTimer</w:t>
            </w:r>
            <w:r>
              <w:rPr>
                <w:color w:val="000000" w:themeColor="text1"/>
                <w:highlight w:val="yellow"/>
                <w14:textFill>
                  <w14:solidFill>
                    <w14:schemeClr w14:val="tx1"/>
                  </w14:solidFill>
                </w14:textFill>
              </w:rPr>
              <w:t xml:space="preserve"> at the subframe that contains the end of the corresponding PUSCH transmission plus 4 subframes plus UE-eNB RTT.</w:t>
            </w:r>
          </w:p>
          <w:p>
            <w:pPr>
              <w:rPr>
                <w:rFonts w:hint="eastAsia" w:eastAsia="宋体"/>
                <w:b w:val="0"/>
                <w:bCs/>
                <w:i w:val="0"/>
                <w:iCs w:val="0"/>
                <w:highlight w:val="cyan"/>
                <w:vertAlign w:val="baseline"/>
                <w:lang w:val="en-US" w:eastAsia="zh-CN"/>
              </w:rPr>
            </w:pPr>
            <w:r>
              <w:rPr>
                <w:rFonts w:hint="eastAsia" w:eastAsia="宋体"/>
                <w:b w:val="0"/>
                <w:bCs/>
                <w:i w:val="0"/>
                <w:iCs w:val="0"/>
                <w:highlight w:val="cyan"/>
                <w:vertAlign w:val="baseline"/>
                <w:lang w:val="en-US" w:eastAsia="zh-CN"/>
              </w:rPr>
              <w:t>&lt;&lt;omitted&gt;&gt;</w:t>
            </w:r>
          </w:p>
          <w:p>
            <w:r>
              <w:t xml:space="preserve">While </w:t>
            </w:r>
            <w:r>
              <w:rPr>
                <w:i/>
              </w:rPr>
              <w:t xml:space="preserve">pur-ResponseWindowTimer </w:t>
            </w:r>
            <w:r>
              <w:t>is running, the MAC entity shall:</w:t>
            </w:r>
          </w:p>
          <w:p>
            <w:pPr>
              <w:pStyle w:val="60"/>
            </w:pPr>
            <w:r>
              <w:t>-</w:t>
            </w:r>
            <w:r>
              <w:tab/>
            </w:r>
            <w:r>
              <w:t>if the PDCCH transmission is addressed to the PUR-RNTI and contains an UL grant for a retransmission:</w:t>
            </w:r>
          </w:p>
          <w:p>
            <w:pPr>
              <w:pStyle w:val="61"/>
              <w:rPr>
                <w:iCs/>
              </w:rPr>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pPr>
              <w:pStyle w:val="62"/>
              <w:rPr>
                <w:highlight w:val="yellow"/>
              </w:rPr>
            </w:pPr>
            <w:r>
              <w:t>-</w:t>
            </w:r>
            <w:r>
              <w:tab/>
            </w:r>
            <w:r>
              <w:rPr>
                <w:highlight w:val="yellow"/>
              </w:rPr>
              <w:t xml:space="preserve">restart </w:t>
            </w:r>
            <w:r>
              <w:rPr>
                <w:i/>
                <w:highlight w:val="yellow"/>
              </w:rPr>
              <w:t>pur-ResponseWindowTimer</w:t>
            </w:r>
            <w:r>
              <w:rPr>
                <w:highlight w:val="yellow"/>
              </w:rPr>
              <w:t xml:space="preserve"> at the last subframe of a PUSCH transmission corresponding to the retransmission indicated by the UL grant plus 4 subframes plus UE-eNB RTT.</w:t>
            </w:r>
          </w:p>
          <w:p>
            <w:pPr>
              <w:rPr>
                <w:rFonts w:hint="default" w:eastAsia="宋体"/>
                <w:b w:val="0"/>
                <w:bCs/>
                <w:i w:val="0"/>
                <w:iCs w:val="0"/>
                <w:highlight w:val="none"/>
                <w:vertAlign w:val="baseline"/>
                <w:lang w:val="en-US" w:eastAsia="zh-CN"/>
              </w:rPr>
            </w:pPr>
            <w:r>
              <w:rPr>
                <w:rFonts w:hint="eastAsia" w:eastAsia="宋体"/>
                <w:b w:val="0"/>
                <w:bCs/>
                <w:i w:val="0"/>
                <w:iCs w:val="0"/>
                <w:highlight w:val="cyan"/>
                <w:vertAlign w:val="baseline"/>
                <w:lang w:val="en-US" w:eastAsia="zh-CN"/>
              </w:rPr>
              <w:t>&lt;&lt;omitted&gt;&gt;</w:t>
            </w:r>
          </w:p>
        </w:tc>
      </w:tr>
    </w:tbl>
    <w:p>
      <w:pPr>
        <w:rPr>
          <w:rFonts w:hint="default" w:eastAsia="宋体"/>
          <w:b/>
          <w:bCs w:val="0"/>
          <w:i w:val="0"/>
          <w:iCs w:val="0"/>
          <w:lang w:val="en-US" w:eastAsia="zh-CN"/>
        </w:rPr>
      </w:pPr>
      <w:r>
        <w:rPr>
          <w:rFonts w:hint="eastAsia" w:eastAsia="宋体"/>
          <w:b/>
          <w:bCs w:val="0"/>
          <w:i w:val="0"/>
          <w:iCs w:val="0"/>
          <w:lang w:val="en-US" w:eastAsia="zh-CN"/>
        </w:rPr>
        <w:t xml:space="preserve">Observation 1: For transmission using PUR, both the processing time and UE-eNB RTT to start or restart </w:t>
      </w:r>
      <w:r>
        <w:rPr>
          <w:rFonts w:hint="eastAsia" w:eastAsia="宋体"/>
          <w:b/>
          <w:bCs w:val="0"/>
          <w:i/>
          <w:iCs/>
          <w:lang w:val="en-US" w:eastAsia="zh-CN"/>
        </w:rPr>
        <w:t>pur-ResponseWindowTimer</w:t>
      </w:r>
      <w:r>
        <w:rPr>
          <w:rFonts w:hint="eastAsia" w:eastAsia="宋体"/>
          <w:b/>
          <w:bCs w:val="0"/>
          <w:i w:val="0"/>
          <w:iCs w:val="0"/>
          <w:lang w:val="en-US" w:eastAsia="zh-CN"/>
        </w:rPr>
        <w:t xml:space="preserve"> in NTN network.</w:t>
      </w:r>
    </w:p>
    <w:p>
      <w:pPr>
        <w:rPr>
          <w:rFonts w:hint="default" w:eastAsia="宋体"/>
          <w:b/>
          <w:bCs w:val="0"/>
          <w:i w:val="0"/>
          <w:iCs w:val="0"/>
          <w:lang w:val="en-US" w:eastAsia="zh-CN"/>
        </w:rPr>
      </w:pPr>
      <w:r>
        <w:rPr>
          <w:rFonts w:hint="eastAsia" w:eastAsia="宋体"/>
          <w:b/>
          <w:bCs w:val="0"/>
          <w:i w:val="0"/>
          <w:iCs w:val="0"/>
          <w:lang w:val="en-US" w:eastAsia="zh-CN"/>
        </w:rPr>
        <w:t>Proposal 7: It is proposed that, for SA case, the PDCCH monitoring window starts or restarts at the end of the CB-Msg3 transmission plus 4 subframes plus UE-eNB RTT.</w:t>
      </w:r>
    </w:p>
    <w:p>
      <w:pPr>
        <w:rPr>
          <w:rFonts w:hint="default" w:eastAsia="宋体"/>
          <w:b/>
          <w:bCs w:val="0"/>
          <w:i w:val="0"/>
          <w:iCs w:val="0"/>
          <w:lang w:val="en-US" w:eastAsia="zh-CN"/>
        </w:rPr>
      </w:pPr>
    </w:p>
    <w:p>
      <w:pPr>
        <w:rPr>
          <w:rFonts w:hint="eastAsia" w:eastAsia="宋体"/>
          <w:b w:val="0"/>
          <w:bCs/>
          <w:i w:val="0"/>
          <w:iCs w:val="0"/>
          <w:lang w:val="en-US" w:eastAsia="zh-CN"/>
        </w:rPr>
      </w:pPr>
      <w:r>
        <w:rPr>
          <w:rFonts w:hint="eastAsia" w:eastAsia="宋体"/>
          <w:b w:val="0"/>
          <w:bCs/>
          <w:i w:val="0"/>
          <w:iCs w:val="0"/>
          <w:lang w:val="en-US" w:eastAsia="zh-CN"/>
        </w:rPr>
        <w:t>For DSA case, one or multiple PDCCH monitoring window(s) is FFS. From our perspective, for one window, UE just to (re)start the window at the subframe that contains the last repetition of the first UL transmission plus UE-eNB RTT plus processing time if supported. And network configure only one long duration to cover all replicas, which may be lead to power consumption for UE. Then for multiple window</w:t>
      </w:r>
      <w:r>
        <w:t xml:space="preserve"> (i.e. one window per each replica)</w:t>
      </w:r>
      <w:r>
        <w:rPr>
          <w:rFonts w:hint="eastAsia" w:eastAsia="宋体"/>
          <w:b w:val="0"/>
          <w:bCs/>
          <w:i w:val="0"/>
          <w:iCs w:val="0"/>
          <w:lang w:val="en-US" w:eastAsia="zh-CN"/>
        </w:rPr>
        <w:t xml:space="preserve">, UE (re)starts multiple shorter window for corresponding replica, which may increase monitoring complexity at UE side. </w:t>
      </w:r>
    </w:p>
    <w:p>
      <w:pPr>
        <w:rPr>
          <w:rFonts w:hint="default" w:eastAsia="宋体"/>
          <w:b w:val="0"/>
          <w:bCs/>
          <w:i w:val="0"/>
          <w:iCs w:val="0"/>
          <w:lang w:val="en-US" w:eastAsia="zh-CN"/>
        </w:rPr>
      </w:pPr>
      <w:r>
        <w:rPr>
          <w:rFonts w:hint="eastAsia" w:eastAsia="宋体"/>
          <w:b w:val="0"/>
          <w:bCs/>
          <w:i w:val="0"/>
          <w:iCs w:val="0"/>
          <w:lang w:val="en-US" w:eastAsia="zh-CN"/>
        </w:rPr>
        <w:t>Based on above description, one window may be more suitable for cases where the number of replicas is large and/or the transmission interval of multiple replicas is shorter. And multiple windows may have advantage in the case that the number of replicas is small and/or the transmission interval is longer. Considering we have agreed that the number of replicas for DSA will be configured by the NW: 1 (SA), 2, 3, 4. The replica number is not so large, therefore multiple PDCCH monitoring windows may be more suitable.</w:t>
      </w:r>
    </w:p>
    <w:p>
      <w:pPr>
        <w:rPr>
          <w:rFonts w:hint="default" w:eastAsia="宋体"/>
          <w:b/>
          <w:bCs w:val="0"/>
          <w:i w:val="0"/>
          <w:iCs w:val="0"/>
          <w:lang w:val="en-US" w:eastAsia="zh-CN"/>
        </w:rPr>
      </w:pPr>
      <w:r>
        <w:rPr>
          <w:rFonts w:hint="eastAsia" w:eastAsia="宋体"/>
          <w:b/>
          <w:bCs w:val="0"/>
          <w:i w:val="0"/>
          <w:iCs w:val="0"/>
          <w:lang w:val="en-US" w:eastAsia="zh-CN"/>
        </w:rPr>
        <w:t>Proposal 8: Support multiple PDCCH monitoring windows for DSA case.</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2.2.2 RNTI design of Msg4 for DSA</w:t>
      </w:r>
    </w:p>
    <w:p>
      <w:pPr>
        <w:rPr>
          <w:rFonts w:hint="default" w:eastAsia="宋体"/>
          <w:lang w:val="en-US" w:eastAsia="zh-CN"/>
        </w:rPr>
      </w:pPr>
      <w:r>
        <w:rPr>
          <w:rFonts w:hint="eastAsia"/>
          <w:lang w:val="en-US" w:eastAsia="zh-CN"/>
        </w:rPr>
        <w:t xml:space="preserve">For Msg4 scheduling RNTI, we agreed to derive it based </w:t>
      </w:r>
      <w:r>
        <w:t>on the resource associated to the PUSCH occasion used for contention based Msg3 EDT transmission</w:t>
      </w:r>
      <w:r>
        <w:rPr>
          <w:rFonts w:hint="eastAsia" w:eastAsia="宋体"/>
          <w:lang w:val="en-US" w:eastAsia="zh-CN"/>
        </w:rPr>
        <w:t>, which is similar to the RA-RNTI calculation associated with the time/frequency resource of the preamble. For DSA case, some companies prefer a common RNTI, however, it may be difficult to design the common RNTI associated with the PUSCH transmission resources of multiple replicas. And multiple RNTI could be calculated based on corresponding replica transmission resource respectively, which is more reasonable and clear. If multiple PDCCH monitoring windows are supported as mentioned above, then UE could monitor each PDCCH in the related window using the specific RNTI.</w:t>
      </w:r>
    </w:p>
    <w:p>
      <w:pPr>
        <w:rPr>
          <w:rFonts w:hint="default" w:eastAsia="宋体"/>
          <w:b/>
          <w:bCs w:val="0"/>
          <w:i w:val="0"/>
          <w:iCs w:val="0"/>
          <w:lang w:val="en-US" w:eastAsia="zh-CN"/>
        </w:rPr>
      </w:pPr>
      <w:r>
        <w:rPr>
          <w:rFonts w:hint="eastAsia" w:eastAsia="宋体"/>
          <w:b/>
          <w:bCs w:val="0"/>
          <w:i w:val="0"/>
          <w:iCs w:val="0"/>
          <w:lang w:val="en-US" w:eastAsia="zh-CN"/>
        </w:rPr>
        <w:t>Proposal 9: For DSA, support multiple RNTIs based on corresponding time/frequency/code resource information of the replicas respectively.</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Fallback mechanism </w:t>
      </w:r>
    </w:p>
    <w:p>
      <w:pPr>
        <w:pStyle w:val="60"/>
        <w:spacing w:after="0"/>
        <w:ind w:left="0" w:firstLine="0"/>
        <w:rPr>
          <w:rFonts w:hint="eastAsia" w:eastAsia="宋体"/>
          <w:lang w:val="en-US" w:eastAsia="zh-CN"/>
        </w:rPr>
      </w:pPr>
      <w:r>
        <w:rPr>
          <w:rFonts w:hint="eastAsia" w:eastAsia="宋体"/>
          <w:lang w:val="en-US" w:eastAsia="zh-CN"/>
        </w:rPr>
        <w:t>Regarding the fallback procedure, there was little discussion in last meeting and come back to this meeting.</w:t>
      </w:r>
    </w:p>
    <w:p>
      <w:pPr>
        <w:pStyle w:val="60"/>
        <w:spacing w:after="0"/>
        <w:ind w:left="0" w:firstLine="0"/>
        <w:rPr>
          <w:rFonts w:hint="default" w:eastAsia="宋体"/>
          <w:bCs/>
          <w:lang w:val="en-US" w:eastAsia="zh-CN"/>
        </w:rPr>
      </w:pPr>
      <w:r>
        <w:rPr>
          <w:rFonts w:hint="eastAsia" w:eastAsia="宋体"/>
          <w:lang w:val="en-US" w:eastAsia="zh-CN"/>
        </w:rPr>
        <w:t>From our perspective, a maximum number of EDT transmissions based on cell specific PUSCH resources</w:t>
      </w:r>
      <w:r>
        <w:rPr>
          <w:rFonts w:hint="eastAsia" w:eastAsiaTheme="minorEastAsia"/>
          <w:b w:val="0"/>
          <w:bCs w:val="0"/>
          <w:sz w:val="20"/>
          <w:szCs w:val="20"/>
          <w:lang w:val="en-US" w:eastAsia="zh-CN"/>
        </w:rPr>
        <w:t xml:space="preserv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10: It is proposed to introduce a maximum number of EDT transmissions based on cell specific PUSCH resources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11: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Procedural step</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Based on above, procedure combination EDT and </w:t>
      </w:r>
      <w:r>
        <w:t>cell specific PUSCH resources</w:t>
      </w:r>
      <w:r>
        <w:rPr>
          <w:rFonts w:hint="eastAsia" w:eastAsia="宋体"/>
          <w:b w:val="0"/>
          <w:bCs/>
          <w:i w:val="0"/>
          <w:iCs w:val="0"/>
          <w:lang w:val="en-US" w:eastAsia="zh-CN"/>
        </w:rPr>
        <w:t xml:space="preserve"> for Control Plane CIoT EPS Optimisations and User Plane CIoT EPS Optimisation are provided as following respectively:</w:t>
      </w: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object>
          <v:shape id="_x0000_i1025" o:spt="75" type="#_x0000_t75" style="height:223.3pt;width:481.55pt;" o:ole="t" filled="f" o:preferrelative="t" stroked="f" coordsize="21600,21600">
            <v:path/>
            <v:fill on="f" focussize="0,0"/>
            <v:stroke on="f"/>
            <v:imagedata r:id="rId16" o:title=""/>
            <o:lock v:ext="edit" aspectratio="f"/>
            <w10:wrap type="none"/>
            <w10:anchorlock/>
          </v:shape>
          <o:OLEObject Type="Embed" ProgID="Visio.Drawing.11" ShapeID="_x0000_i1025" DrawAspect="Content" ObjectID="_1468075725" r:id="rId15">
            <o:LockedField>false</o:LockedField>
          </o:OLEObject>
        </w:object>
      </w:r>
    </w:p>
    <w:p>
      <w:pPr>
        <w:pStyle w:val="74"/>
      </w:pPr>
      <w:r>
        <w:t xml:space="preserve">Figure </w:t>
      </w:r>
      <w:r>
        <w:rPr>
          <w:rFonts w:hint="eastAsia" w:eastAsia="宋体"/>
          <w:lang w:val="en-US" w:eastAsia="zh-CN"/>
        </w:rPr>
        <w:t>1</w:t>
      </w:r>
      <w:r>
        <w:t xml:space="preserve">: Transmission using </w:t>
      </w:r>
      <w:r>
        <w:rPr>
          <w:rFonts w:hint="eastAsia"/>
        </w:rPr>
        <w:t>cell specific PUSCH resources</w:t>
      </w:r>
      <w:r>
        <w:t xml:space="preserve"> for the Control Plane CIoT EPS Optimisations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 xml:space="preserve">Network provides </w:t>
      </w:r>
      <w:r>
        <w:t>cell specific PUSCH resources</w:t>
      </w:r>
      <w:r>
        <w:rPr>
          <w:rFonts w:hint="eastAsia" w:eastAsia="宋体"/>
          <w:b w:val="0"/>
          <w:bCs/>
          <w:i w:val="0"/>
          <w:iCs w:val="0"/>
          <w:lang w:val="en-US" w:eastAsia="zh-CN"/>
        </w:rPr>
        <w:t xml:space="preserve">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Control Plane CIoT EPS optimisations in Figure 7.3b-1</w:t>
      </w:r>
      <w:r>
        <w:rPr>
          <w:rFonts w:hint="eastAsia" w:eastAsia="宋体"/>
          <w:b w:val="0"/>
          <w:bCs/>
          <w:i w:val="0"/>
          <w:iCs w:val="0"/>
          <w:lang w:val="en-US" w:eastAsia="zh-CN"/>
        </w:rPr>
        <w:t xml:space="preserve"> of TS 36.300 </w:t>
      </w:r>
      <w:r>
        <w:rPr>
          <w:rFonts w:hint="default" w:eastAsia="宋体"/>
          <w:b w:val="0"/>
          <w:bCs/>
          <w:i w:val="0"/>
          <w:iCs w:val="0"/>
          <w:lang w:val="en-US" w:eastAsia="zh-CN"/>
        </w:rPr>
        <w:t xml:space="preserve">except that the UE transmits over the </w:t>
      </w:r>
      <w:r>
        <w:t>cell specific PUSCH resources</w:t>
      </w:r>
      <w:r>
        <w:rPr>
          <w:rFonts w:hint="default" w:eastAsia="宋体"/>
          <w:b w:val="0"/>
          <w:bCs/>
          <w:i w:val="0"/>
          <w:iCs w:val="0"/>
          <w:lang w:val="en-US" w:eastAsia="zh-CN"/>
        </w:rPr>
        <w:t xml:space="preserv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If the uplink data are too large to be included in RRCEarlyDataRequest, the UE can use the</w:t>
      </w:r>
      <w:r>
        <w:rPr>
          <w:rFonts w:hint="eastAsia" w:eastAsia="宋体"/>
          <w:b w:val="0"/>
          <w:bCs/>
          <w:i w:val="0"/>
          <w:iCs w:val="0"/>
          <w:lang w:val="en-US" w:eastAsia="zh-CN"/>
        </w:rPr>
        <w:t xml:space="preserve"> cell specific PUSCH resources</w:t>
      </w:r>
      <w:r>
        <w:rPr>
          <w:rFonts w:hint="default" w:eastAsia="宋体"/>
          <w:b w:val="0"/>
          <w:bCs/>
          <w:i w:val="0"/>
          <w:iCs w:val="0"/>
          <w:lang w:val="en-US" w:eastAsia="zh-CN"/>
        </w:rPr>
        <w:t xml:space="preserve"> to transmit RRCConnectionRequest. The procedure will fall back to the legacy RRC Connection establishment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xml:space="preserve">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2..6 Same as MO-EDT for Control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7.3b-1</w:t>
      </w:r>
      <w:r>
        <w:rPr>
          <w:rFonts w:hint="eastAsia" w:eastAsia="宋体"/>
          <w:b w:val="0"/>
          <w:bCs/>
          <w:i w:val="0"/>
          <w:iCs w:val="0"/>
          <w:lang w:val="en-US" w:eastAsia="zh-CN"/>
        </w:rPr>
        <w:t xml:space="preserve"> of TS 36.300</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7</w:t>
      </w:r>
      <w:r>
        <w:rPr>
          <w:rFonts w:hint="default" w:eastAsia="宋体"/>
          <w:b w:val="0"/>
          <w:bCs/>
          <w:i w:val="0"/>
          <w:iCs w:val="0"/>
          <w:lang w:val="en-US" w:eastAsia="zh-CN"/>
        </w:rPr>
        <w:tab/>
      </w:r>
      <w:r>
        <w:t xml:space="preserve">If no further data are expected, the eNB can send the </w:t>
      </w:r>
      <w:r>
        <w:rPr>
          <w:i/>
        </w:rPr>
        <w:t>RRCEarlyDataComplete</w:t>
      </w:r>
      <w:r>
        <w:rPr>
          <w:rFonts w:hint="eastAsia" w:eastAsia="宋体"/>
          <w:i/>
          <w:lang w:val="en-US" w:eastAsia="zh-CN"/>
        </w:rPr>
        <w:t xml:space="preserve"> </w:t>
      </w:r>
      <w:r>
        <w:t>message</w:t>
      </w:r>
      <w:r>
        <w:rPr>
          <w:rFonts w:hint="eastAsia" w:eastAsia="宋体"/>
          <w:lang w:val="en-US" w:eastAsia="zh-CN"/>
        </w:rPr>
        <w:t xml:space="preserve"> including </w:t>
      </w:r>
      <w:r>
        <w:t xml:space="preserve">UE Contention Resolution Identity on CCCH to keep the UE in RRC_IDLE. If downlink data were received in step 6, they are concatenated in </w:t>
      </w:r>
      <w:r>
        <w:rPr>
          <w:i/>
        </w:rPr>
        <w:t xml:space="preserve">RRCEarlyDataComplete </w:t>
      </w:r>
      <w:r>
        <w:t>message.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object>
          <v:shape id="_x0000_i1026" o:spt="75" type="#_x0000_t75" style="height:230.4pt;width:481.55pt;" o:ole="t" filled="f" o:preferrelative="t" stroked="f" coordsize="21600,21600">
            <v:path/>
            <v:fill on="f" focussize="0,0"/>
            <v:stroke on="f"/>
            <v:imagedata r:id="rId18" o:title=""/>
            <o:lock v:ext="edit" aspectratio="f"/>
            <w10:wrap type="none"/>
            <w10:anchorlock/>
          </v:shape>
          <o:OLEObject Type="Embed" ProgID="Visio.Drawing.11" ShapeID="_x0000_i1026" DrawAspect="Content" ObjectID="_1468075726" r:id="rId17">
            <o:LockedField>false</o:LockedField>
          </o:OLEObject>
        </w:object>
      </w:r>
    </w:p>
    <w:p>
      <w:pPr>
        <w:pStyle w:val="74"/>
        <w:rPr>
          <w:b w:val="0"/>
        </w:rPr>
      </w:pPr>
      <w:r>
        <w:t xml:space="preserve">Figure </w:t>
      </w:r>
      <w:r>
        <w:rPr>
          <w:rFonts w:hint="eastAsia" w:eastAsia="宋体"/>
          <w:lang w:val="en-US" w:eastAsia="zh-CN"/>
        </w:rPr>
        <w:t>2</w:t>
      </w:r>
      <w:r>
        <w:t xml:space="preserve">: Transmission using </w:t>
      </w:r>
      <w:r>
        <w:rPr>
          <w:rFonts w:hint="eastAsia"/>
        </w:rPr>
        <w:t>cell specific PUSCH resources</w:t>
      </w:r>
      <w:r>
        <w:t xml:space="preserve"> for the User Plane CIoT </w:t>
      </w:r>
      <w:r>
        <w:rPr>
          <w:rFonts w:hint="eastAsia" w:eastAsia="宋体"/>
          <w:lang w:val="en-US" w:eastAsia="zh-CN"/>
        </w:rPr>
        <w:t>EPS</w:t>
      </w:r>
      <w:r>
        <w:t xml:space="preserve"> Optimisation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cell specific PUSCH resources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 xml:space="preserve">optimisations in Figure 7.3b-2 </w:t>
      </w:r>
      <w:r>
        <w:rPr>
          <w:rFonts w:hint="eastAsia" w:eastAsia="宋体"/>
          <w:b w:val="0"/>
          <w:bCs/>
          <w:i w:val="0"/>
          <w:iCs w:val="0"/>
          <w:lang w:val="en-US" w:eastAsia="zh-CN"/>
        </w:rPr>
        <w:t xml:space="preserve">of TS 36.300 </w:t>
      </w:r>
      <w:r>
        <w:rPr>
          <w:rFonts w:hint="default" w:eastAsia="宋体"/>
          <w:b w:val="0"/>
          <w:bCs/>
          <w:i w:val="0"/>
          <w:iCs w:val="0"/>
          <w:lang w:val="en-US" w:eastAsia="zh-CN"/>
        </w:rPr>
        <w:t>except that the UE transmits over the cell specific PUSCH resources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user data are too large to be fully included in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the UE can use</w:t>
      </w:r>
      <w:r>
        <w:rPr>
          <w:rFonts w:hint="eastAsia" w:eastAsia="宋体"/>
          <w:b w:val="0"/>
          <w:bCs/>
          <w:i w:val="0"/>
          <w:iCs w:val="0"/>
          <w:lang w:val="en-US" w:eastAsia="zh-CN"/>
        </w:rPr>
        <w:t xml:space="preserve"> cell specific PUSCH resources</w:t>
      </w:r>
      <w:r>
        <w:rPr>
          <w:rFonts w:hint="default" w:eastAsia="宋体"/>
          <w:b w:val="0"/>
          <w:bCs/>
          <w:i w:val="0"/>
          <w:iCs w:val="0"/>
          <w:lang w:val="en-US" w:eastAsia="zh-CN"/>
        </w:rPr>
        <w:t xml:space="preserve"> to transmit RRCConnectionResumeRequest and a segment of the user data. The procedure will fall back to the legacy RRC Connection Resume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xml:space="preserve">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2..7 Same as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7.3b-2</w:t>
      </w:r>
      <w:r>
        <w:rPr>
          <w:rFonts w:hint="eastAsia" w:eastAsia="宋体"/>
          <w:b w:val="0"/>
          <w:bCs/>
          <w:i w:val="0"/>
          <w:iCs w:val="0"/>
          <w:lang w:val="en-US" w:eastAsia="zh-CN"/>
        </w:rPr>
        <w:t xml:space="preserve"> of TS 36.300</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8</w:t>
      </w:r>
      <w:r>
        <w:rPr>
          <w:rFonts w:hint="default" w:eastAsia="宋体"/>
          <w:b w:val="0"/>
          <w:bCs/>
          <w:i w:val="0"/>
          <w:iCs w:val="0"/>
          <w:lang w:val="en-US" w:eastAsia="zh-CN"/>
        </w:rPr>
        <w:tab/>
      </w:r>
      <w:r>
        <w:t>Same as step 8 in MO-EDT for user Plane CIoT EPS optimisations in Figure 7.3b-2 and a UE Contention Resolution Identity</w:t>
      </w:r>
      <w:r>
        <w:rPr>
          <w:rFonts w:hint="eastAsia" w:eastAsia="宋体"/>
          <w:lang w:val="en-US" w:eastAsia="zh-CN"/>
        </w:rPr>
        <w:t xml:space="preserve"> is</w:t>
      </w:r>
      <w:r>
        <w:t xml:space="preserve"> also included.</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12: For CB-msg3 EDT transmission based on cell specific PUSCH resources, the above procedure could be the baseline.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pPr>
        <w:pStyle w:val="60"/>
        <w:numPr>
          <w:ilvl w:val="0"/>
          <w:numId w:val="0"/>
        </w:numPr>
        <w:overflowPunct w:val="0"/>
        <w:autoSpaceDE w:val="0"/>
        <w:autoSpaceDN w:val="0"/>
        <w:adjustRightInd w:val="0"/>
        <w:spacing w:after="0"/>
        <w:jc w:val="left"/>
        <w:textAlignment w:val="baseline"/>
        <w:rPr>
          <w:rFonts w:hint="eastAsia" w:eastAsia="宋体"/>
          <w:b/>
          <w:bCs w:val="0"/>
          <w:i/>
          <w:iCs/>
          <w:sz w:val="24"/>
          <w:szCs w:val="24"/>
          <w:highlight w:val="lightGray"/>
          <w:u w:val="single"/>
          <w:lang w:val="en-US" w:eastAsia="zh-CN"/>
        </w:rPr>
      </w:pPr>
      <w:r>
        <w:rPr>
          <w:rFonts w:hint="eastAsia" w:eastAsia="宋体"/>
          <w:b/>
          <w:bCs w:val="0"/>
          <w:i/>
          <w:iCs/>
          <w:sz w:val="24"/>
          <w:szCs w:val="24"/>
          <w:highlight w:val="lightGray"/>
          <w:u w:val="single"/>
          <w:lang w:val="en-US" w:eastAsia="zh-CN"/>
        </w:rPr>
        <w:t>CB-Msg3 aspects: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1: Support dedicated signaling to configure the TA validation parameters (e.g. TAT timer at least) for 15kHz SCS NB-IoT and eMTC CE mode B.</w:t>
      </w:r>
    </w:p>
    <w:p>
      <w:pPr>
        <w:rPr>
          <w:rFonts w:hint="eastAsia" w:eastAsia="宋体"/>
          <w:b/>
          <w:bCs w:val="0"/>
          <w:i w:val="0"/>
          <w:iCs w:val="0"/>
          <w:lang w:val="en-US" w:eastAsia="zh-CN"/>
        </w:rPr>
      </w:pPr>
      <w:r>
        <w:rPr>
          <w:rFonts w:hint="eastAsia" w:eastAsia="宋体"/>
          <w:b/>
          <w:bCs w:val="0"/>
          <w:i w:val="0"/>
          <w:iCs w:val="0"/>
          <w:lang w:val="en-US" w:eastAsia="zh-CN"/>
        </w:rPr>
        <w:t>Proposal 2: At least for initial CE level selection for CB-Msg3 EDT, the existing RSRP threshold and CE level configuration could be reused as baseline.</w:t>
      </w:r>
    </w:p>
    <w:p>
      <w:pPr>
        <w:rPr>
          <w:rFonts w:hint="default" w:eastAsia="宋体"/>
          <w:b/>
          <w:bCs w:val="0"/>
          <w:i w:val="0"/>
          <w:iCs w:val="0"/>
          <w:lang w:val="en-US" w:eastAsia="zh-CN"/>
        </w:rPr>
      </w:pPr>
      <w:r>
        <w:rPr>
          <w:rFonts w:hint="eastAsia" w:eastAsia="宋体"/>
          <w:b/>
          <w:bCs w:val="0"/>
          <w:i w:val="0"/>
          <w:iCs w:val="0"/>
          <w:lang w:val="en-US" w:eastAsia="zh-CN"/>
        </w:rPr>
        <w:t>Proposal 3: Reuse existing configuration solution, that is provide maximum TBS per CE level, and whether configure same maximum TBS value for different CE level is up to network configuration.</w:t>
      </w:r>
    </w:p>
    <w:p>
      <w:pPr>
        <w:rPr>
          <w:rFonts w:hint="eastAsia" w:eastAsia="宋体"/>
          <w:b/>
          <w:bCs w:val="0"/>
          <w:i w:val="0"/>
          <w:iCs w:val="0"/>
          <w:lang w:val="en-US" w:eastAsia="zh-CN"/>
        </w:rPr>
      </w:pPr>
      <w:r>
        <w:rPr>
          <w:rFonts w:hint="eastAsia" w:eastAsia="宋体"/>
          <w:b/>
          <w:bCs w:val="0"/>
          <w:i w:val="0"/>
          <w:iCs w:val="0"/>
          <w:lang w:val="en-US" w:eastAsia="zh-CN"/>
        </w:rPr>
        <w:t>Proposal 4: It is proposed the following 3 options for DSA CB-Msg3 occasion selection window configuration for RAN2 discussion:</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 xml:space="preserve">Option 1: Configure only one big time window, and UE select randomly different time domain occasions for transmitting different replicas </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Option 2: Configure multiple time window</w:t>
      </w:r>
      <w:r>
        <w:rPr>
          <w:rFonts w:hint="eastAsia" w:eastAsia="宋体"/>
          <w:b/>
          <w:bCs w:val="0"/>
          <w:i w:val="0"/>
          <w:iCs w:val="0"/>
          <w:lang w:val="en-US" w:eastAsia="zh-CN"/>
        </w:rPr>
        <w:t>s</w:t>
      </w:r>
      <w:r>
        <w:rPr>
          <w:rFonts w:hint="default" w:eastAsia="宋体"/>
          <w:b/>
          <w:bCs w:val="0"/>
          <w:i w:val="0"/>
          <w:iCs w:val="0"/>
          <w:lang w:val="en-US" w:eastAsia="zh-CN"/>
        </w:rPr>
        <w:t xml:space="preserve"> according to replica number, and one replica for each window </w:t>
      </w:r>
    </w:p>
    <w:p>
      <w:pPr>
        <w:ind w:firstLine="567" w:firstLineChars="0"/>
        <w:rPr>
          <w:rFonts w:hint="default" w:eastAsia="宋体"/>
          <w:b/>
          <w:bCs w:val="0"/>
          <w:i w:val="0"/>
          <w:iCs w:val="0"/>
          <w:lang w:val="en-US" w:eastAsia="zh-CN"/>
        </w:rPr>
      </w:pPr>
      <w:r>
        <w:rPr>
          <w:rFonts w:hint="default" w:eastAsia="宋体"/>
          <w:b/>
          <w:bCs w:val="0"/>
          <w:i w:val="0"/>
          <w:iCs w:val="0"/>
          <w:lang w:val="en-US" w:eastAsia="zh-CN"/>
        </w:rPr>
        <w:t>Option 3: Configure multiple time wi</w:t>
      </w:r>
      <w:r>
        <w:rPr>
          <w:rFonts w:hint="eastAsia" w:eastAsia="宋体"/>
          <w:b/>
          <w:bCs w:val="0"/>
          <w:i w:val="0"/>
          <w:iCs w:val="0"/>
          <w:lang w:val="en-US" w:eastAsia="zh-CN"/>
        </w:rPr>
        <w:t>n</w:t>
      </w:r>
      <w:r>
        <w:rPr>
          <w:rFonts w:hint="default" w:eastAsia="宋体"/>
          <w:b/>
          <w:bCs w:val="0"/>
          <w:i w:val="0"/>
          <w:iCs w:val="0"/>
          <w:lang w:val="en-US" w:eastAsia="zh-CN"/>
        </w:rPr>
        <w:t>dow</w:t>
      </w:r>
      <w:r>
        <w:rPr>
          <w:rFonts w:hint="eastAsia" w:eastAsia="宋体"/>
          <w:b/>
          <w:bCs w:val="0"/>
          <w:i w:val="0"/>
          <w:iCs w:val="0"/>
          <w:lang w:val="en-US" w:eastAsia="zh-CN"/>
        </w:rPr>
        <w:t>s</w:t>
      </w:r>
      <w:r>
        <w:rPr>
          <w:rFonts w:hint="default" w:eastAsia="宋体"/>
          <w:b/>
          <w:bCs w:val="0"/>
          <w:i w:val="0"/>
          <w:iCs w:val="0"/>
          <w:lang w:val="en-US" w:eastAsia="zh-CN"/>
        </w:rPr>
        <w:t>, and UE select randomly different time domain occasions for transmitting different replicas in different window</w:t>
      </w:r>
      <w:r>
        <w:rPr>
          <w:rFonts w:hint="eastAsia" w:eastAsia="宋体"/>
          <w:b/>
          <w:bCs w:val="0"/>
          <w:i w:val="0"/>
          <w:iCs w:val="0"/>
          <w:lang w:val="en-US" w:eastAsia="zh-CN"/>
        </w:rPr>
        <w:t>s</w:t>
      </w:r>
      <w:r>
        <w:rPr>
          <w:rFonts w:hint="default" w:eastAsia="宋体"/>
          <w:b/>
          <w:bCs w:val="0"/>
          <w:i w:val="0"/>
          <w:iCs w:val="0"/>
          <w:lang w:val="en-US" w:eastAsia="zh-CN"/>
        </w:rPr>
        <w:t xml:space="preserve"> (in this case, the number of windows does not necessarily match the number of replicas).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5: Not introduce a pointer to allow the network infer the positions of the DSA replicas.</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6: For the Msg3 content for CBS-msg3 EDT transmission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eastAsia" w:eastAsia="宋体"/>
          <w:b/>
          <w:bCs w:val="0"/>
          <w:i/>
          <w:iCs/>
          <w:sz w:val="24"/>
          <w:szCs w:val="24"/>
          <w:highlight w:val="lightGray"/>
          <w:u w:val="single"/>
          <w:lang w:val="en-US" w:eastAsia="zh-CN"/>
        </w:rPr>
      </w:pPr>
      <w:r>
        <w:rPr>
          <w:rFonts w:hint="eastAsia" w:eastAsia="宋体"/>
          <w:b/>
          <w:bCs w:val="0"/>
          <w:i/>
          <w:iCs/>
          <w:sz w:val="24"/>
          <w:szCs w:val="24"/>
          <w:highlight w:val="lightGray"/>
          <w:u w:val="single"/>
          <w:lang w:val="en-US" w:eastAsia="zh-CN"/>
        </w:rPr>
        <w:t>Msg4 aspects:</w:t>
      </w:r>
    </w:p>
    <w:p>
      <w:pPr>
        <w:rPr>
          <w:rFonts w:hint="default" w:eastAsia="宋体"/>
          <w:b/>
          <w:bCs w:val="0"/>
          <w:i w:val="0"/>
          <w:iCs w:val="0"/>
          <w:lang w:val="en-US" w:eastAsia="zh-CN"/>
        </w:rPr>
      </w:pPr>
      <w:r>
        <w:rPr>
          <w:rFonts w:hint="eastAsia" w:eastAsia="宋体"/>
          <w:b/>
          <w:bCs w:val="0"/>
          <w:i w:val="0"/>
          <w:iCs w:val="0"/>
          <w:lang w:val="en-US" w:eastAsia="zh-CN"/>
        </w:rPr>
        <w:t xml:space="preserve">Observation 1: For transmission using PUR, both the processing time and UE-eNB RTT to start or restart </w:t>
      </w:r>
      <w:r>
        <w:rPr>
          <w:rFonts w:hint="eastAsia" w:eastAsia="宋体"/>
          <w:b/>
          <w:bCs w:val="0"/>
          <w:i/>
          <w:iCs/>
          <w:lang w:val="en-US" w:eastAsia="zh-CN"/>
        </w:rPr>
        <w:t>pur-ResponseWindowTimer</w:t>
      </w:r>
      <w:r>
        <w:rPr>
          <w:rFonts w:hint="eastAsia" w:eastAsia="宋体"/>
          <w:b/>
          <w:bCs w:val="0"/>
          <w:i w:val="0"/>
          <w:iCs w:val="0"/>
          <w:lang w:val="en-US" w:eastAsia="zh-CN"/>
        </w:rPr>
        <w:t xml:space="preserve"> in NTN network.</w:t>
      </w:r>
    </w:p>
    <w:p>
      <w:pPr>
        <w:rPr>
          <w:rFonts w:hint="default" w:eastAsia="宋体"/>
          <w:b/>
          <w:bCs w:val="0"/>
          <w:i w:val="0"/>
          <w:iCs w:val="0"/>
          <w:lang w:val="en-US" w:eastAsia="zh-CN"/>
        </w:rPr>
      </w:pPr>
      <w:r>
        <w:rPr>
          <w:rFonts w:hint="eastAsia" w:eastAsia="宋体"/>
          <w:b/>
          <w:bCs w:val="0"/>
          <w:i w:val="0"/>
          <w:iCs w:val="0"/>
          <w:lang w:val="en-US" w:eastAsia="zh-CN"/>
        </w:rPr>
        <w:t>Proposal 7: It is proposed that, for SA case, the PDCCH monitoring window starts or restarts at the end of the CB-Msg3 transmission plus 4 subframes plus UE-eNB RTT.</w:t>
      </w:r>
    </w:p>
    <w:p>
      <w:pPr>
        <w:rPr>
          <w:rFonts w:hint="default" w:eastAsia="宋体"/>
          <w:b/>
          <w:bCs w:val="0"/>
          <w:i w:val="0"/>
          <w:iCs w:val="0"/>
          <w:lang w:val="en-US" w:eastAsia="zh-CN"/>
        </w:rPr>
      </w:pPr>
      <w:r>
        <w:rPr>
          <w:rFonts w:hint="eastAsia" w:eastAsia="宋体"/>
          <w:b/>
          <w:bCs w:val="0"/>
          <w:i w:val="0"/>
          <w:iCs w:val="0"/>
          <w:lang w:val="en-US" w:eastAsia="zh-CN"/>
        </w:rPr>
        <w:t>Proposal 8: Support multiple PDCCH monitoring windows for DSA case.</w:t>
      </w:r>
    </w:p>
    <w:p>
      <w:pPr>
        <w:rPr>
          <w:rFonts w:hint="default" w:eastAsia="宋体"/>
          <w:b/>
          <w:bCs w:val="0"/>
          <w:i w:val="0"/>
          <w:iCs w:val="0"/>
          <w:lang w:val="en-US" w:eastAsia="zh-CN"/>
        </w:rPr>
      </w:pPr>
      <w:r>
        <w:rPr>
          <w:rFonts w:hint="eastAsia" w:eastAsia="宋体"/>
          <w:b/>
          <w:bCs w:val="0"/>
          <w:i w:val="0"/>
          <w:iCs w:val="0"/>
          <w:lang w:val="en-US" w:eastAsia="zh-CN"/>
        </w:rPr>
        <w:t>Proposal 9: For DSA, support multiple RNTIs based on corresponding time/frequency/code resource information of the replicas respectively.</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eastAsia" w:eastAsia="宋体"/>
          <w:b/>
          <w:bCs w:val="0"/>
          <w:i/>
          <w:iCs/>
          <w:sz w:val="24"/>
          <w:szCs w:val="24"/>
          <w:highlight w:val="lightGray"/>
          <w:u w:val="single"/>
          <w:lang w:val="en-US" w:eastAsia="zh-CN"/>
        </w:rPr>
      </w:pPr>
      <w:r>
        <w:rPr>
          <w:rFonts w:hint="eastAsia" w:eastAsia="宋体"/>
          <w:b/>
          <w:bCs w:val="0"/>
          <w:i/>
          <w:iCs/>
          <w:sz w:val="24"/>
          <w:szCs w:val="24"/>
          <w:highlight w:val="lightGray"/>
          <w:u w:val="single"/>
          <w:lang w:val="en-US" w:eastAsia="zh-CN"/>
        </w:rPr>
        <w:t>Fallback:</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10: It is proposed to introduce a maximum number of EDT transmissions based on cell specific PUSCH resources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11: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eastAsia" w:eastAsia="宋体"/>
          <w:b/>
          <w:bCs w:val="0"/>
          <w:i/>
          <w:iCs/>
          <w:sz w:val="24"/>
          <w:szCs w:val="24"/>
          <w:highlight w:val="lightGray"/>
          <w:u w:val="single"/>
          <w:lang w:val="en-US" w:eastAsia="zh-CN"/>
        </w:rPr>
      </w:pPr>
      <w:r>
        <w:rPr>
          <w:rFonts w:hint="eastAsia" w:eastAsia="宋体"/>
          <w:b/>
          <w:bCs w:val="0"/>
          <w:i/>
          <w:iCs/>
          <w:sz w:val="24"/>
          <w:szCs w:val="24"/>
          <w:highlight w:val="lightGray"/>
          <w:u w:val="single"/>
          <w:lang w:val="en-US" w:eastAsia="zh-CN"/>
        </w:rPr>
        <w:t>Procedure: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12: For CB-msg3 EDT transmission based on cell specific PUSCH resources, the above procedure could be the baseline.</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rPr>
          <w:rFonts w:hint="eastAsia"/>
          <w:sz w:val="20"/>
          <w:szCs w:val="20"/>
        </w:rPr>
      </w:pPr>
      <w:bookmarkStart w:id="14" w:name="_In-sequence_SDU_delivery"/>
      <w:bookmarkEnd w:id="14"/>
      <w:r>
        <w:rPr>
          <w:rFonts w:hint="eastAsia"/>
          <w:sz w:val="20"/>
          <w:szCs w:val="20"/>
        </w:rPr>
        <w:t>R2-128 NR-NTN-IoT-NTN (Sergio)_ EOM</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R2-2410875</w:t>
      </w:r>
      <w:r>
        <w:rPr>
          <w:rFonts w:hint="eastAsia"/>
          <w:sz w:val="20"/>
          <w:szCs w:val="20"/>
        </w:rPr>
        <w:tab/>
      </w:r>
      <w:r>
        <w:rPr>
          <w:rFonts w:hint="eastAsia"/>
          <w:sz w:val="20"/>
          <w:szCs w:val="20"/>
        </w:rPr>
        <w:t>Implicit pointer for locating DSA replicas for EDT of CB-Msg3</w:t>
      </w:r>
      <w:r>
        <w:rPr>
          <w:rFonts w:hint="eastAsia"/>
          <w:sz w:val="20"/>
          <w:szCs w:val="20"/>
        </w:rPr>
        <w:tab/>
      </w:r>
      <w:r>
        <w:rPr>
          <w:rFonts w:hint="eastAsia"/>
          <w:sz w:val="20"/>
          <w:szCs w:val="20"/>
        </w:rPr>
        <w:t>DLR, ESA, Inmarsat, Viasat</w:t>
      </w:r>
      <w:r>
        <w:rPr>
          <w:rFonts w:hint="eastAsia"/>
          <w:sz w:val="20"/>
          <w:szCs w:val="20"/>
        </w:rPr>
        <w:tab/>
      </w:r>
      <w:r>
        <w:rPr>
          <w:rFonts w:hint="eastAsia"/>
          <w:sz w:val="20"/>
          <w:szCs w:val="20"/>
        </w:rPr>
        <w:t>discussion</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073A8"/>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4AF"/>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1AB"/>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A44F2"/>
    <w:rsid w:val="015B631E"/>
    <w:rsid w:val="016318F9"/>
    <w:rsid w:val="017A73D0"/>
    <w:rsid w:val="018E0749"/>
    <w:rsid w:val="019A10AD"/>
    <w:rsid w:val="01BF172D"/>
    <w:rsid w:val="01E74520"/>
    <w:rsid w:val="02252FA1"/>
    <w:rsid w:val="022F4B03"/>
    <w:rsid w:val="02744528"/>
    <w:rsid w:val="02877C19"/>
    <w:rsid w:val="02883D06"/>
    <w:rsid w:val="028D67E7"/>
    <w:rsid w:val="02CC0A1F"/>
    <w:rsid w:val="02D27F6C"/>
    <w:rsid w:val="035845AA"/>
    <w:rsid w:val="03A11802"/>
    <w:rsid w:val="03F47F88"/>
    <w:rsid w:val="0416334A"/>
    <w:rsid w:val="048A5003"/>
    <w:rsid w:val="04A13B04"/>
    <w:rsid w:val="04B403C6"/>
    <w:rsid w:val="04BC080F"/>
    <w:rsid w:val="04BF107F"/>
    <w:rsid w:val="04D25727"/>
    <w:rsid w:val="04DA176A"/>
    <w:rsid w:val="04F07943"/>
    <w:rsid w:val="04F50E2F"/>
    <w:rsid w:val="051D3A75"/>
    <w:rsid w:val="05606A49"/>
    <w:rsid w:val="05983EBC"/>
    <w:rsid w:val="05A35E9B"/>
    <w:rsid w:val="06077EDA"/>
    <w:rsid w:val="06254DA5"/>
    <w:rsid w:val="06261BBF"/>
    <w:rsid w:val="0654248D"/>
    <w:rsid w:val="06565EAE"/>
    <w:rsid w:val="06724B04"/>
    <w:rsid w:val="07046057"/>
    <w:rsid w:val="078B43FE"/>
    <w:rsid w:val="078C1F33"/>
    <w:rsid w:val="07B241B1"/>
    <w:rsid w:val="07B959B1"/>
    <w:rsid w:val="07BD374D"/>
    <w:rsid w:val="07E007E1"/>
    <w:rsid w:val="07E769A5"/>
    <w:rsid w:val="07EF7893"/>
    <w:rsid w:val="08350D3C"/>
    <w:rsid w:val="083F0917"/>
    <w:rsid w:val="0841118C"/>
    <w:rsid w:val="08AF444E"/>
    <w:rsid w:val="08F65DA6"/>
    <w:rsid w:val="09133D3D"/>
    <w:rsid w:val="09BB5B6F"/>
    <w:rsid w:val="09BD14D1"/>
    <w:rsid w:val="09E47F26"/>
    <w:rsid w:val="09F46CE4"/>
    <w:rsid w:val="0A1A51CE"/>
    <w:rsid w:val="0A3F21EB"/>
    <w:rsid w:val="0A5E59A5"/>
    <w:rsid w:val="0A9049CA"/>
    <w:rsid w:val="0A9740DA"/>
    <w:rsid w:val="0AA40C7E"/>
    <w:rsid w:val="0ACC0F45"/>
    <w:rsid w:val="0ACC7712"/>
    <w:rsid w:val="0B263982"/>
    <w:rsid w:val="0B4A1814"/>
    <w:rsid w:val="0B510D2F"/>
    <w:rsid w:val="0B767B3C"/>
    <w:rsid w:val="0BC8278A"/>
    <w:rsid w:val="0BCF37C5"/>
    <w:rsid w:val="0BD60B5C"/>
    <w:rsid w:val="0C0E133A"/>
    <w:rsid w:val="0C4B2410"/>
    <w:rsid w:val="0C984883"/>
    <w:rsid w:val="0CAE5B2E"/>
    <w:rsid w:val="0CB9526E"/>
    <w:rsid w:val="0CD409FF"/>
    <w:rsid w:val="0D4603FC"/>
    <w:rsid w:val="0D524167"/>
    <w:rsid w:val="0D587FCA"/>
    <w:rsid w:val="0D681ED9"/>
    <w:rsid w:val="0D6C179F"/>
    <w:rsid w:val="0DA013F6"/>
    <w:rsid w:val="0DDB664A"/>
    <w:rsid w:val="0DF76F61"/>
    <w:rsid w:val="0E336CD8"/>
    <w:rsid w:val="0E794941"/>
    <w:rsid w:val="0E891356"/>
    <w:rsid w:val="0E997EF0"/>
    <w:rsid w:val="0E9F5DF3"/>
    <w:rsid w:val="0EC440FF"/>
    <w:rsid w:val="0EF139CD"/>
    <w:rsid w:val="0F20565C"/>
    <w:rsid w:val="0F583308"/>
    <w:rsid w:val="0F677C8C"/>
    <w:rsid w:val="0FB354FB"/>
    <w:rsid w:val="0FCC0A5A"/>
    <w:rsid w:val="0FE0018D"/>
    <w:rsid w:val="101429FA"/>
    <w:rsid w:val="10221AC0"/>
    <w:rsid w:val="108131DD"/>
    <w:rsid w:val="108B7105"/>
    <w:rsid w:val="109D3DB9"/>
    <w:rsid w:val="10D43ED3"/>
    <w:rsid w:val="11043CD0"/>
    <w:rsid w:val="110F10D1"/>
    <w:rsid w:val="114015F3"/>
    <w:rsid w:val="118D209C"/>
    <w:rsid w:val="11B82D63"/>
    <w:rsid w:val="11C5063A"/>
    <w:rsid w:val="123A4B72"/>
    <w:rsid w:val="123B45F5"/>
    <w:rsid w:val="12980C87"/>
    <w:rsid w:val="12B27083"/>
    <w:rsid w:val="12BA7EC6"/>
    <w:rsid w:val="12C17224"/>
    <w:rsid w:val="12D20EAC"/>
    <w:rsid w:val="13116F0E"/>
    <w:rsid w:val="13132FCE"/>
    <w:rsid w:val="13420F11"/>
    <w:rsid w:val="134A0035"/>
    <w:rsid w:val="135C7F4F"/>
    <w:rsid w:val="1382544E"/>
    <w:rsid w:val="13997B36"/>
    <w:rsid w:val="141B1C76"/>
    <w:rsid w:val="14554736"/>
    <w:rsid w:val="14A20FFB"/>
    <w:rsid w:val="14B82DC6"/>
    <w:rsid w:val="153214F9"/>
    <w:rsid w:val="153372CB"/>
    <w:rsid w:val="15C978C2"/>
    <w:rsid w:val="16150148"/>
    <w:rsid w:val="16364236"/>
    <w:rsid w:val="16563130"/>
    <w:rsid w:val="169343E9"/>
    <w:rsid w:val="16A42650"/>
    <w:rsid w:val="16AA08E2"/>
    <w:rsid w:val="16B421B4"/>
    <w:rsid w:val="16E648E1"/>
    <w:rsid w:val="16E779EB"/>
    <w:rsid w:val="16F24CA6"/>
    <w:rsid w:val="171B31CF"/>
    <w:rsid w:val="177E36D0"/>
    <w:rsid w:val="179450F0"/>
    <w:rsid w:val="17945CA4"/>
    <w:rsid w:val="180E362D"/>
    <w:rsid w:val="181B2E1C"/>
    <w:rsid w:val="18571522"/>
    <w:rsid w:val="18571828"/>
    <w:rsid w:val="18787128"/>
    <w:rsid w:val="18B278BB"/>
    <w:rsid w:val="18B9619D"/>
    <w:rsid w:val="18E402E6"/>
    <w:rsid w:val="18FA292B"/>
    <w:rsid w:val="190A668D"/>
    <w:rsid w:val="191242AE"/>
    <w:rsid w:val="192472E7"/>
    <w:rsid w:val="195B3A6D"/>
    <w:rsid w:val="19766DFD"/>
    <w:rsid w:val="19AC5C42"/>
    <w:rsid w:val="19BC1AC5"/>
    <w:rsid w:val="19D92839"/>
    <w:rsid w:val="1A097878"/>
    <w:rsid w:val="1A201089"/>
    <w:rsid w:val="1A330485"/>
    <w:rsid w:val="1A520606"/>
    <w:rsid w:val="1A8123C9"/>
    <w:rsid w:val="1A913825"/>
    <w:rsid w:val="1AA366F2"/>
    <w:rsid w:val="1AC82085"/>
    <w:rsid w:val="1AEF5DBD"/>
    <w:rsid w:val="1B244200"/>
    <w:rsid w:val="1B423649"/>
    <w:rsid w:val="1B510746"/>
    <w:rsid w:val="1BA24967"/>
    <w:rsid w:val="1BD95F94"/>
    <w:rsid w:val="1BDA5141"/>
    <w:rsid w:val="1C227D6B"/>
    <w:rsid w:val="1C3D1CD0"/>
    <w:rsid w:val="1C5E7298"/>
    <w:rsid w:val="1C851710"/>
    <w:rsid w:val="1C917FBA"/>
    <w:rsid w:val="1CE6681A"/>
    <w:rsid w:val="1D080ABD"/>
    <w:rsid w:val="1D33546C"/>
    <w:rsid w:val="1D586DE4"/>
    <w:rsid w:val="1DAF6046"/>
    <w:rsid w:val="1DD14FB1"/>
    <w:rsid w:val="1DDD518B"/>
    <w:rsid w:val="1E1507D7"/>
    <w:rsid w:val="1E3072B7"/>
    <w:rsid w:val="1E403C53"/>
    <w:rsid w:val="1EA20D4A"/>
    <w:rsid w:val="1EAA6DF5"/>
    <w:rsid w:val="1ECC19F8"/>
    <w:rsid w:val="1EFF6958"/>
    <w:rsid w:val="1F0926FA"/>
    <w:rsid w:val="1F0A1209"/>
    <w:rsid w:val="1F734328"/>
    <w:rsid w:val="1F837506"/>
    <w:rsid w:val="1FA11974"/>
    <w:rsid w:val="1FAE283E"/>
    <w:rsid w:val="1FB32543"/>
    <w:rsid w:val="1FC14404"/>
    <w:rsid w:val="20203DE8"/>
    <w:rsid w:val="2031215C"/>
    <w:rsid w:val="204E000A"/>
    <w:rsid w:val="20764B90"/>
    <w:rsid w:val="20955704"/>
    <w:rsid w:val="20DB7C51"/>
    <w:rsid w:val="20E9518E"/>
    <w:rsid w:val="20E96FA9"/>
    <w:rsid w:val="20FE42D5"/>
    <w:rsid w:val="211313D4"/>
    <w:rsid w:val="21234291"/>
    <w:rsid w:val="21E52206"/>
    <w:rsid w:val="21F86645"/>
    <w:rsid w:val="22B67B93"/>
    <w:rsid w:val="22C4562D"/>
    <w:rsid w:val="22ED3D4D"/>
    <w:rsid w:val="23144387"/>
    <w:rsid w:val="234E7F45"/>
    <w:rsid w:val="23686144"/>
    <w:rsid w:val="23734838"/>
    <w:rsid w:val="239A17D4"/>
    <w:rsid w:val="239F51B6"/>
    <w:rsid w:val="23B53D5F"/>
    <w:rsid w:val="241B2FD5"/>
    <w:rsid w:val="241B76CB"/>
    <w:rsid w:val="242445BB"/>
    <w:rsid w:val="243F039F"/>
    <w:rsid w:val="245B6D34"/>
    <w:rsid w:val="24641BC2"/>
    <w:rsid w:val="24A52F19"/>
    <w:rsid w:val="24A83609"/>
    <w:rsid w:val="24AE0DF0"/>
    <w:rsid w:val="24B5447A"/>
    <w:rsid w:val="24B82068"/>
    <w:rsid w:val="24E10292"/>
    <w:rsid w:val="25043CC9"/>
    <w:rsid w:val="251B6678"/>
    <w:rsid w:val="253F619D"/>
    <w:rsid w:val="26164BD6"/>
    <w:rsid w:val="26281CED"/>
    <w:rsid w:val="265D0D96"/>
    <w:rsid w:val="267E798D"/>
    <w:rsid w:val="269447EB"/>
    <w:rsid w:val="26A83741"/>
    <w:rsid w:val="26D47A62"/>
    <w:rsid w:val="27306E68"/>
    <w:rsid w:val="27606908"/>
    <w:rsid w:val="276D70AB"/>
    <w:rsid w:val="277E77C1"/>
    <w:rsid w:val="27936CC4"/>
    <w:rsid w:val="27AE47D9"/>
    <w:rsid w:val="27BA14D2"/>
    <w:rsid w:val="27E26E59"/>
    <w:rsid w:val="2809471B"/>
    <w:rsid w:val="28255BB3"/>
    <w:rsid w:val="285478B9"/>
    <w:rsid w:val="28603CA4"/>
    <w:rsid w:val="287D5E75"/>
    <w:rsid w:val="28853060"/>
    <w:rsid w:val="28AD0B61"/>
    <w:rsid w:val="29395F5F"/>
    <w:rsid w:val="29423CBE"/>
    <w:rsid w:val="29CD3FA9"/>
    <w:rsid w:val="2A1862C4"/>
    <w:rsid w:val="2A4B23FB"/>
    <w:rsid w:val="2A552F13"/>
    <w:rsid w:val="2AB1519A"/>
    <w:rsid w:val="2AC455D6"/>
    <w:rsid w:val="2AC82235"/>
    <w:rsid w:val="2ADF5799"/>
    <w:rsid w:val="2AF0613E"/>
    <w:rsid w:val="2B083F92"/>
    <w:rsid w:val="2B542A45"/>
    <w:rsid w:val="2BAB4C9B"/>
    <w:rsid w:val="2BB96BD3"/>
    <w:rsid w:val="2BC72D99"/>
    <w:rsid w:val="2BE54292"/>
    <w:rsid w:val="2BFC2B9D"/>
    <w:rsid w:val="2C285659"/>
    <w:rsid w:val="2C386CC6"/>
    <w:rsid w:val="2C9F2631"/>
    <w:rsid w:val="2CF51ED1"/>
    <w:rsid w:val="2CF92978"/>
    <w:rsid w:val="2CFA23BD"/>
    <w:rsid w:val="2D1D15EF"/>
    <w:rsid w:val="2D285AA4"/>
    <w:rsid w:val="2D3B228A"/>
    <w:rsid w:val="2D49791E"/>
    <w:rsid w:val="2D5923F4"/>
    <w:rsid w:val="2D8523AE"/>
    <w:rsid w:val="2D9E1569"/>
    <w:rsid w:val="2D9F7C96"/>
    <w:rsid w:val="2DB6192E"/>
    <w:rsid w:val="2DBE4358"/>
    <w:rsid w:val="2DF36570"/>
    <w:rsid w:val="2E103F98"/>
    <w:rsid w:val="2E32053F"/>
    <w:rsid w:val="2EB775B3"/>
    <w:rsid w:val="2ECD5251"/>
    <w:rsid w:val="2EE85B84"/>
    <w:rsid w:val="2EF94A67"/>
    <w:rsid w:val="2EFC31BC"/>
    <w:rsid w:val="2F2F4C2C"/>
    <w:rsid w:val="2F3D4E71"/>
    <w:rsid w:val="302E07AF"/>
    <w:rsid w:val="30866EAA"/>
    <w:rsid w:val="30946552"/>
    <w:rsid w:val="309E20B5"/>
    <w:rsid w:val="30F3431F"/>
    <w:rsid w:val="311B0263"/>
    <w:rsid w:val="31503E5A"/>
    <w:rsid w:val="316D7D0D"/>
    <w:rsid w:val="319D3380"/>
    <w:rsid w:val="31AE180F"/>
    <w:rsid w:val="31B859A2"/>
    <w:rsid w:val="32345EC8"/>
    <w:rsid w:val="3262022D"/>
    <w:rsid w:val="326B2AB6"/>
    <w:rsid w:val="32A942B0"/>
    <w:rsid w:val="32F13120"/>
    <w:rsid w:val="33193629"/>
    <w:rsid w:val="333000CE"/>
    <w:rsid w:val="333663A2"/>
    <w:rsid w:val="335B55F1"/>
    <w:rsid w:val="335B7C59"/>
    <w:rsid w:val="33863C3A"/>
    <w:rsid w:val="33A81036"/>
    <w:rsid w:val="33E26367"/>
    <w:rsid w:val="33F614DE"/>
    <w:rsid w:val="34056B80"/>
    <w:rsid w:val="34207E90"/>
    <w:rsid w:val="342C61EA"/>
    <w:rsid w:val="344E25FB"/>
    <w:rsid w:val="3463411E"/>
    <w:rsid w:val="34914DCA"/>
    <w:rsid w:val="34BC2DB9"/>
    <w:rsid w:val="34C07CB8"/>
    <w:rsid w:val="34C6331F"/>
    <w:rsid w:val="34D95BB9"/>
    <w:rsid w:val="34F54AEF"/>
    <w:rsid w:val="34F97D00"/>
    <w:rsid w:val="35050B53"/>
    <w:rsid w:val="354D014F"/>
    <w:rsid w:val="35502BD2"/>
    <w:rsid w:val="356154A3"/>
    <w:rsid w:val="35A10D2D"/>
    <w:rsid w:val="35A35F0C"/>
    <w:rsid w:val="35A43DB0"/>
    <w:rsid w:val="361C2353"/>
    <w:rsid w:val="3635547B"/>
    <w:rsid w:val="365C6586"/>
    <w:rsid w:val="36746B61"/>
    <w:rsid w:val="36A9407C"/>
    <w:rsid w:val="36CA7953"/>
    <w:rsid w:val="36FA1D41"/>
    <w:rsid w:val="37164985"/>
    <w:rsid w:val="37C2178A"/>
    <w:rsid w:val="37D61EDD"/>
    <w:rsid w:val="37E26F6D"/>
    <w:rsid w:val="37E93248"/>
    <w:rsid w:val="37F97B97"/>
    <w:rsid w:val="38002E12"/>
    <w:rsid w:val="380411EC"/>
    <w:rsid w:val="3829480D"/>
    <w:rsid w:val="383529C2"/>
    <w:rsid w:val="383C5BD0"/>
    <w:rsid w:val="38536D3F"/>
    <w:rsid w:val="387B61F0"/>
    <w:rsid w:val="387D26D9"/>
    <w:rsid w:val="388727CC"/>
    <w:rsid w:val="38922D5C"/>
    <w:rsid w:val="38CE22F4"/>
    <w:rsid w:val="39024B57"/>
    <w:rsid w:val="390C2363"/>
    <w:rsid w:val="39804845"/>
    <w:rsid w:val="39C504E0"/>
    <w:rsid w:val="3A02147B"/>
    <w:rsid w:val="3A06167E"/>
    <w:rsid w:val="3A3665DD"/>
    <w:rsid w:val="3A6F42D5"/>
    <w:rsid w:val="3A82293D"/>
    <w:rsid w:val="3A9E2AD9"/>
    <w:rsid w:val="3AC57875"/>
    <w:rsid w:val="3AE305E5"/>
    <w:rsid w:val="3AE309A9"/>
    <w:rsid w:val="3AEF40DA"/>
    <w:rsid w:val="3B596DF7"/>
    <w:rsid w:val="3BB05F4E"/>
    <w:rsid w:val="3BC23F1A"/>
    <w:rsid w:val="3BC52C1E"/>
    <w:rsid w:val="3C1C6AA4"/>
    <w:rsid w:val="3C2A7289"/>
    <w:rsid w:val="3C5503C9"/>
    <w:rsid w:val="3C6D30EA"/>
    <w:rsid w:val="3C6D47EB"/>
    <w:rsid w:val="3CCB7AFB"/>
    <w:rsid w:val="3CD8469E"/>
    <w:rsid w:val="3CE24E25"/>
    <w:rsid w:val="3D2C7D07"/>
    <w:rsid w:val="3D2E7413"/>
    <w:rsid w:val="3D406D01"/>
    <w:rsid w:val="3D4E0A24"/>
    <w:rsid w:val="3D5934AC"/>
    <w:rsid w:val="3D966C01"/>
    <w:rsid w:val="3DA51E2F"/>
    <w:rsid w:val="3DB43891"/>
    <w:rsid w:val="3E0B7BD9"/>
    <w:rsid w:val="3E267F59"/>
    <w:rsid w:val="3E4456FC"/>
    <w:rsid w:val="3EA877DC"/>
    <w:rsid w:val="3ECD0998"/>
    <w:rsid w:val="3F1E12A1"/>
    <w:rsid w:val="3F1F34C2"/>
    <w:rsid w:val="3F7117D8"/>
    <w:rsid w:val="3FEB0FB3"/>
    <w:rsid w:val="40325295"/>
    <w:rsid w:val="407C021F"/>
    <w:rsid w:val="40CC3888"/>
    <w:rsid w:val="40F33173"/>
    <w:rsid w:val="40F82E28"/>
    <w:rsid w:val="41585AC3"/>
    <w:rsid w:val="41710521"/>
    <w:rsid w:val="41B34CCB"/>
    <w:rsid w:val="41C87C60"/>
    <w:rsid w:val="41C96466"/>
    <w:rsid w:val="41CB3970"/>
    <w:rsid w:val="41F85DEA"/>
    <w:rsid w:val="420610DF"/>
    <w:rsid w:val="426E0BA8"/>
    <w:rsid w:val="429544E1"/>
    <w:rsid w:val="42CE6929"/>
    <w:rsid w:val="42F71CEC"/>
    <w:rsid w:val="43A77C24"/>
    <w:rsid w:val="43C65B01"/>
    <w:rsid w:val="43DF4E15"/>
    <w:rsid w:val="43E53BCD"/>
    <w:rsid w:val="43F03364"/>
    <w:rsid w:val="443B107F"/>
    <w:rsid w:val="44776D6B"/>
    <w:rsid w:val="44843D36"/>
    <w:rsid w:val="44B14540"/>
    <w:rsid w:val="44BA04B8"/>
    <w:rsid w:val="44BA7E1E"/>
    <w:rsid w:val="44BE79C3"/>
    <w:rsid w:val="4535668D"/>
    <w:rsid w:val="45394DB9"/>
    <w:rsid w:val="455340E3"/>
    <w:rsid w:val="45CA31DA"/>
    <w:rsid w:val="45D50D55"/>
    <w:rsid w:val="45EC6821"/>
    <w:rsid w:val="45F303D0"/>
    <w:rsid w:val="45F84858"/>
    <w:rsid w:val="461C7CAF"/>
    <w:rsid w:val="462356B3"/>
    <w:rsid w:val="464004CF"/>
    <w:rsid w:val="4673772B"/>
    <w:rsid w:val="46A55352"/>
    <w:rsid w:val="46B51FCF"/>
    <w:rsid w:val="46BA0199"/>
    <w:rsid w:val="46FF6AF5"/>
    <w:rsid w:val="47062A9A"/>
    <w:rsid w:val="47105324"/>
    <w:rsid w:val="476E313F"/>
    <w:rsid w:val="47993F84"/>
    <w:rsid w:val="47BD666C"/>
    <w:rsid w:val="47DB6CDA"/>
    <w:rsid w:val="480A17DC"/>
    <w:rsid w:val="4896658D"/>
    <w:rsid w:val="489E3831"/>
    <w:rsid w:val="497F7FCC"/>
    <w:rsid w:val="49B17433"/>
    <w:rsid w:val="4A284A82"/>
    <w:rsid w:val="4A662E1D"/>
    <w:rsid w:val="4A7E32B4"/>
    <w:rsid w:val="4A87256B"/>
    <w:rsid w:val="4A984665"/>
    <w:rsid w:val="4AF07359"/>
    <w:rsid w:val="4AFC533A"/>
    <w:rsid w:val="4B1367B9"/>
    <w:rsid w:val="4B1A6B3E"/>
    <w:rsid w:val="4B316DE7"/>
    <w:rsid w:val="4B565C38"/>
    <w:rsid w:val="4B6D7831"/>
    <w:rsid w:val="4B6F0508"/>
    <w:rsid w:val="4B8D0855"/>
    <w:rsid w:val="4B920891"/>
    <w:rsid w:val="4B9C680D"/>
    <w:rsid w:val="4BB221B4"/>
    <w:rsid w:val="4BED7351"/>
    <w:rsid w:val="4C1048EF"/>
    <w:rsid w:val="4C1B6FEB"/>
    <w:rsid w:val="4C353BC7"/>
    <w:rsid w:val="4C3B1D32"/>
    <w:rsid w:val="4C513C42"/>
    <w:rsid w:val="4C5D54D6"/>
    <w:rsid w:val="4C814518"/>
    <w:rsid w:val="4C91315E"/>
    <w:rsid w:val="4CAD0872"/>
    <w:rsid w:val="4CCE50CA"/>
    <w:rsid w:val="4D3A24A4"/>
    <w:rsid w:val="4D3E5E49"/>
    <w:rsid w:val="4D4374BE"/>
    <w:rsid w:val="4D5613EC"/>
    <w:rsid w:val="4D594475"/>
    <w:rsid w:val="4D762F64"/>
    <w:rsid w:val="4DA76772"/>
    <w:rsid w:val="4DB06342"/>
    <w:rsid w:val="4DCA372B"/>
    <w:rsid w:val="4DEC01C6"/>
    <w:rsid w:val="4DF158ED"/>
    <w:rsid w:val="4E0C3478"/>
    <w:rsid w:val="4E207448"/>
    <w:rsid w:val="4E4D0205"/>
    <w:rsid w:val="4E6B2029"/>
    <w:rsid w:val="4EC83A06"/>
    <w:rsid w:val="4ED314E6"/>
    <w:rsid w:val="4F1C0A54"/>
    <w:rsid w:val="4F235FC8"/>
    <w:rsid w:val="4F2C3853"/>
    <w:rsid w:val="4F7F20AA"/>
    <w:rsid w:val="4F873909"/>
    <w:rsid w:val="4F9510BA"/>
    <w:rsid w:val="4FA843B3"/>
    <w:rsid w:val="4FF617D6"/>
    <w:rsid w:val="50234908"/>
    <w:rsid w:val="50507ECA"/>
    <w:rsid w:val="506B2DFC"/>
    <w:rsid w:val="508F3931"/>
    <w:rsid w:val="50A06038"/>
    <w:rsid w:val="50E64646"/>
    <w:rsid w:val="50FC2CFB"/>
    <w:rsid w:val="513A3326"/>
    <w:rsid w:val="513B4B9D"/>
    <w:rsid w:val="515C13CF"/>
    <w:rsid w:val="516A6684"/>
    <w:rsid w:val="518C6DB2"/>
    <w:rsid w:val="51AF5989"/>
    <w:rsid w:val="51C51671"/>
    <w:rsid w:val="51E25CE3"/>
    <w:rsid w:val="51E261D3"/>
    <w:rsid w:val="51EA16FB"/>
    <w:rsid w:val="5223684A"/>
    <w:rsid w:val="52840BEF"/>
    <w:rsid w:val="52A32CE7"/>
    <w:rsid w:val="52A955AB"/>
    <w:rsid w:val="532C26FC"/>
    <w:rsid w:val="53322A76"/>
    <w:rsid w:val="53A7747B"/>
    <w:rsid w:val="53C54AA3"/>
    <w:rsid w:val="544C3D0B"/>
    <w:rsid w:val="547F5841"/>
    <w:rsid w:val="548117E3"/>
    <w:rsid w:val="54A648D1"/>
    <w:rsid w:val="54D81A93"/>
    <w:rsid w:val="54DB29BD"/>
    <w:rsid w:val="54E44ED6"/>
    <w:rsid w:val="54F14C14"/>
    <w:rsid w:val="5529069B"/>
    <w:rsid w:val="55571991"/>
    <w:rsid w:val="558209AD"/>
    <w:rsid w:val="56612A75"/>
    <w:rsid w:val="566931AC"/>
    <w:rsid w:val="56854B68"/>
    <w:rsid w:val="56F374FB"/>
    <w:rsid w:val="571C1A53"/>
    <w:rsid w:val="5738401A"/>
    <w:rsid w:val="57613A81"/>
    <w:rsid w:val="577E4EC0"/>
    <w:rsid w:val="57B21D48"/>
    <w:rsid w:val="57B57C15"/>
    <w:rsid w:val="57D83FAF"/>
    <w:rsid w:val="58450E51"/>
    <w:rsid w:val="58532B7C"/>
    <w:rsid w:val="58D81F5B"/>
    <w:rsid w:val="592D06A1"/>
    <w:rsid w:val="59620232"/>
    <w:rsid w:val="59A00F56"/>
    <w:rsid w:val="59B24039"/>
    <w:rsid w:val="59DA5A4F"/>
    <w:rsid w:val="5A08392B"/>
    <w:rsid w:val="5A31005C"/>
    <w:rsid w:val="5A3D3D8A"/>
    <w:rsid w:val="5A637CC1"/>
    <w:rsid w:val="5AE55CE6"/>
    <w:rsid w:val="5AED713C"/>
    <w:rsid w:val="5B0260D0"/>
    <w:rsid w:val="5B1B09BE"/>
    <w:rsid w:val="5B3D7266"/>
    <w:rsid w:val="5B723495"/>
    <w:rsid w:val="5B8D1AC1"/>
    <w:rsid w:val="5BA3592C"/>
    <w:rsid w:val="5BAB7539"/>
    <w:rsid w:val="5BCE0DEA"/>
    <w:rsid w:val="5BD42235"/>
    <w:rsid w:val="5C610721"/>
    <w:rsid w:val="5C8B6FF1"/>
    <w:rsid w:val="5CFE4143"/>
    <w:rsid w:val="5D13255A"/>
    <w:rsid w:val="5D331782"/>
    <w:rsid w:val="5D502A92"/>
    <w:rsid w:val="5DEC0CDE"/>
    <w:rsid w:val="5E204AD7"/>
    <w:rsid w:val="5E2219E6"/>
    <w:rsid w:val="5E4C6102"/>
    <w:rsid w:val="5E6D4BC0"/>
    <w:rsid w:val="5ED308EE"/>
    <w:rsid w:val="5EE81CA5"/>
    <w:rsid w:val="5EEA5BA3"/>
    <w:rsid w:val="5F3E69CE"/>
    <w:rsid w:val="5FE11ED3"/>
    <w:rsid w:val="6009519E"/>
    <w:rsid w:val="6025343B"/>
    <w:rsid w:val="603D2CDD"/>
    <w:rsid w:val="606D6DE0"/>
    <w:rsid w:val="60AD5F5F"/>
    <w:rsid w:val="60D525F3"/>
    <w:rsid w:val="60DB6927"/>
    <w:rsid w:val="60E30438"/>
    <w:rsid w:val="61127BCE"/>
    <w:rsid w:val="611E5441"/>
    <w:rsid w:val="612D3C7B"/>
    <w:rsid w:val="613600F8"/>
    <w:rsid w:val="617C2D8F"/>
    <w:rsid w:val="61826F89"/>
    <w:rsid w:val="62124EC9"/>
    <w:rsid w:val="62207064"/>
    <w:rsid w:val="623E2101"/>
    <w:rsid w:val="62540353"/>
    <w:rsid w:val="62757735"/>
    <w:rsid w:val="62947A1C"/>
    <w:rsid w:val="62A109BE"/>
    <w:rsid w:val="62CD6DE1"/>
    <w:rsid w:val="62E70A4E"/>
    <w:rsid w:val="62FD4A9D"/>
    <w:rsid w:val="632C6FC4"/>
    <w:rsid w:val="634B3FF6"/>
    <w:rsid w:val="63B27919"/>
    <w:rsid w:val="63DA517F"/>
    <w:rsid w:val="64460ECC"/>
    <w:rsid w:val="644F5E22"/>
    <w:rsid w:val="64681DB1"/>
    <w:rsid w:val="64902A98"/>
    <w:rsid w:val="64960795"/>
    <w:rsid w:val="64961979"/>
    <w:rsid w:val="64D843A5"/>
    <w:rsid w:val="64E46FA4"/>
    <w:rsid w:val="64FB6FD5"/>
    <w:rsid w:val="6512731D"/>
    <w:rsid w:val="652B7ADD"/>
    <w:rsid w:val="653E277C"/>
    <w:rsid w:val="657E520F"/>
    <w:rsid w:val="66053294"/>
    <w:rsid w:val="663B46C9"/>
    <w:rsid w:val="663F30CF"/>
    <w:rsid w:val="668B2BC4"/>
    <w:rsid w:val="66F93E1B"/>
    <w:rsid w:val="672214E7"/>
    <w:rsid w:val="6728083A"/>
    <w:rsid w:val="67413BF6"/>
    <w:rsid w:val="6755359A"/>
    <w:rsid w:val="67A7418D"/>
    <w:rsid w:val="67AF2BE7"/>
    <w:rsid w:val="67D27C62"/>
    <w:rsid w:val="67D67A95"/>
    <w:rsid w:val="67DF6978"/>
    <w:rsid w:val="68990128"/>
    <w:rsid w:val="68CC107E"/>
    <w:rsid w:val="68D102AF"/>
    <w:rsid w:val="694E04D2"/>
    <w:rsid w:val="695664EF"/>
    <w:rsid w:val="69653491"/>
    <w:rsid w:val="698044A5"/>
    <w:rsid w:val="69AF33F2"/>
    <w:rsid w:val="69E66B78"/>
    <w:rsid w:val="6A510F7A"/>
    <w:rsid w:val="6A7259EE"/>
    <w:rsid w:val="6AA67E64"/>
    <w:rsid w:val="6AEB6209"/>
    <w:rsid w:val="6AF21A55"/>
    <w:rsid w:val="6B0D712F"/>
    <w:rsid w:val="6B28575B"/>
    <w:rsid w:val="6B472B04"/>
    <w:rsid w:val="6B827ED3"/>
    <w:rsid w:val="6BD66216"/>
    <w:rsid w:val="6BE4485D"/>
    <w:rsid w:val="6BFE3795"/>
    <w:rsid w:val="6C1E113E"/>
    <w:rsid w:val="6C3346CE"/>
    <w:rsid w:val="6C3A1127"/>
    <w:rsid w:val="6C3B11AE"/>
    <w:rsid w:val="6C3B431E"/>
    <w:rsid w:val="6C4A4ABA"/>
    <w:rsid w:val="6C523B19"/>
    <w:rsid w:val="6C593462"/>
    <w:rsid w:val="6C857DA8"/>
    <w:rsid w:val="6CC1587C"/>
    <w:rsid w:val="6CFE0842"/>
    <w:rsid w:val="6D1A3941"/>
    <w:rsid w:val="6D266267"/>
    <w:rsid w:val="6D2B74AA"/>
    <w:rsid w:val="6D697BC3"/>
    <w:rsid w:val="6D7111BC"/>
    <w:rsid w:val="6DBF311C"/>
    <w:rsid w:val="6DCA5CB9"/>
    <w:rsid w:val="6DFB10AF"/>
    <w:rsid w:val="6E08583A"/>
    <w:rsid w:val="6E280F38"/>
    <w:rsid w:val="6E5408E4"/>
    <w:rsid w:val="6E8A21F7"/>
    <w:rsid w:val="6ECB7942"/>
    <w:rsid w:val="6EFC69C0"/>
    <w:rsid w:val="6F000F0B"/>
    <w:rsid w:val="6F024B82"/>
    <w:rsid w:val="6F197436"/>
    <w:rsid w:val="6F2867BD"/>
    <w:rsid w:val="6F44559B"/>
    <w:rsid w:val="6F667C11"/>
    <w:rsid w:val="70115BE8"/>
    <w:rsid w:val="703A2630"/>
    <w:rsid w:val="70561E49"/>
    <w:rsid w:val="709C594C"/>
    <w:rsid w:val="70C723A5"/>
    <w:rsid w:val="71D0045B"/>
    <w:rsid w:val="71D05F49"/>
    <w:rsid w:val="71F773F9"/>
    <w:rsid w:val="720F4381"/>
    <w:rsid w:val="725E4C39"/>
    <w:rsid w:val="72C37927"/>
    <w:rsid w:val="72D92B77"/>
    <w:rsid w:val="73090FE2"/>
    <w:rsid w:val="73265607"/>
    <w:rsid w:val="73522B35"/>
    <w:rsid w:val="737D35DF"/>
    <w:rsid w:val="7399271A"/>
    <w:rsid w:val="73CA76A4"/>
    <w:rsid w:val="73EC173C"/>
    <w:rsid w:val="73F82EA2"/>
    <w:rsid w:val="7435596C"/>
    <w:rsid w:val="74412603"/>
    <w:rsid w:val="7454328B"/>
    <w:rsid w:val="74722C9A"/>
    <w:rsid w:val="747E452E"/>
    <w:rsid w:val="74880357"/>
    <w:rsid w:val="74A647DF"/>
    <w:rsid w:val="74FA5A4A"/>
    <w:rsid w:val="751A36A3"/>
    <w:rsid w:val="754B57C9"/>
    <w:rsid w:val="755F161D"/>
    <w:rsid w:val="75884210"/>
    <w:rsid w:val="75944E94"/>
    <w:rsid w:val="75BD4A84"/>
    <w:rsid w:val="75EA7003"/>
    <w:rsid w:val="760D56E2"/>
    <w:rsid w:val="76A740B5"/>
    <w:rsid w:val="76EE218C"/>
    <w:rsid w:val="772E0B03"/>
    <w:rsid w:val="77397F47"/>
    <w:rsid w:val="773C532B"/>
    <w:rsid w:val="77552F6F"/>
    <w:rsid w:val="77642276"/>
    <w:rsid w:val="778A542A"/>
    <w:rsid w:val="77C177F8"/>
    <w:rsid w:val="77DB3F30"/>
    <w:rsid w:val="77EF5E51"/>
    <w:rsid w:val="78685093"/>
    <w:rsid w:val="789A3CEC"/>
    <w:rsid w:val="78C2063C"/>
    <w:rsid w:val="79315D64"/>
    <w:rsid w:val="79332F0B"/>
    <w:rsid w:val="796923D7"/>
    <w:rsid w:val="79C11BD2"/>
    <w:rsid w:val="79E8078D"/>
    <w:rsid w:val="79FD7CEF"/>
    <w:rsid w:val="7A3422EE"/>
    <w:rsid w:val="7A4774F3"/>
    <w:rsid w:val="7AA678C6"/>
    <w:rsid w:val="7B016CDB"/>
    <w:rsid w:val="7B113087"/>
    <w:rsid w:val="7B230F9F"/>
    <w:rsid w:val="7B5441DD"/>
    <w:rsid w:val="7B9D3F28"/>
    <w:rsid w:val="7B9E2E7D"/>
    <w:rsid w:val="7BA5186C"/>
    <w:rsid w:val="7BB92BA6"/>
    <w:rsid w:val="7BBC519D"/>
    <w:rsid w:val="7BDA2FE2"/>
    <w:rsid w:val="7BEA35A6"/>
    <w:rsid w:val="7BEB3AA1"/>
    <w:rsid w:val="7C050B07"/>
    <w:rsid w:val="7C9E7A01"/>
    <w:rsid w:val="7CE426F4"/>
    <w:rsid w:val="7D2E186E"/>
    <w:rsid w:val="7D8F4D8B"/>
    <w:rsid w:val="7DBA4407"/>
    <w:rsid w:val="7DC977E9"/>
    <w:rsid w:val="7DD14D63"/>
    <w:rsid w:val="7DE2201F"/>
    <w:rsid w:val="7E04089A"/>
    <w:rsid w:val="7E0773D0"/>
    <w:rsid w:val="7E256583"/>
    <w:rsid w:val="7E4577B8"/>
    <w:rsid w:val="7E5D66DD"/>
    <w:rsid w:val="7E734104"/>
    <w:rsid w:val="7E7C3173"/>
    <w:rsid w:val="7EBC71A1"/>
    <w:rsid w:val="7EEE5FCC"/>
    <w:rsid w:val="7EFB4946"/>
    <w:rsid w:val="7F2E279D"/>
    <w:rsid w:val="7F5F09C9"/>
    <w:rsid w:val="7F5F5BF2"/>
    <w:rsid w:val="7F60044C"/>
    <w:rsid w:val="7F6A3397"/>
    <w:rsid w:val="7F7054DF"/>
    <w:rsid w:val="7F724CCB"/>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emf"/><Relationship Id="rId17" Type="http://schemas.openxmlformats.org/officeDocument/2006/relationships/oleObject" Target="embeddings/oleObject2.bin"/><Relationship Id="rId16" Type="http://schemas.openxmlformats.org/officeDocument/2006/relationships/image" Target="media/image5.emf"/><Relationship Id="rId15" Type="http://schemas.openxmlformats.org/officeDocument/2006/relationships/oleObject" Target="embeddings/oleObject1.bin"/><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8</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2025-02-07T06:56:14Z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5A3E6898C1944C28925BE802B9F94275</vt:lpwstr>
  </property>
</Properties>
</file>